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76"/>
        <w:rPr>
          <w:rFonts w:eastAsia="Times New Roman" w:cs="Times New Roman"/>
          <w:szCs w:val="24"/>
        </w:rPr>
      </w:pPr>
      <w:r>
        <w:rPr>
          <w:rFonts w:eastAsia="Times New Roman" w:cs="Times New Roman"/>
          <w:szCs w:val="24"/>
        </w:rPr>
        <w:tab/>
        <w:t>BOSNA I HERCEGOVINA</w:t>
      </w:r>
    </w:p>
    <w:p>
      <w:pPr>
        <w:pStyle w:val="Normal"/>
        <w:spacing w:lineRule="auto" w:line="276"/>
        <w:rPr>
          <w:rFonts w:eastAsia="Times New Roman" w:cs="Times New Roman"/>
          <w:szCs w:val="24"/>
        </w:rPr>
      </w:pPr>
      <w:r>
        <w:rPr>
          <w:rFonts w:eastAsia="Times New Roman" w:cs="Times New Roman"/>
          <w:szCs w:val="24"/>
        </w:rPr>
        <w:t>FEDERACIJA BOSNE I HERCEGOVINE</w:t>
      </w:r>
    </w:p>
    <w:p>
      <w:pPr>
        <w:pStyle w:val="Normal"/>
        <w:spacing w:lineRule="auto" w:line="276"/>
        <w:rPr>
          <w:rFonts w:eastAsia="Times New Roman" w:cs="Times New Roman"/>
          <w:szCs w:val="24"/>
        </w:rPr>
      </w:pPr>
      <w:r>
        <w:rPr>
          <w:rFonts w:eastAsia="Times New Roman" w:cs="Times New Roman"/>
          <w:szCs w:val="24"/>
        </w:rPr>
        <w:tab/>
        <w:t xml:space="preserve">       VRHOVNI SUD</w:t>
      </w:r>
    </w:p>
    <w:p>
      <w:pPr>
        <w:pStyle w:val="Normal"/>
        <w:spacing w:lineRule="auto" w:line="276"/>
        <w:rPr>
          <w:rFonts w:eastAsia="Times New Roman" w:cs="Times New Roman"/>
          <w:szCs w:val="24"/>
        </w:rPr>
      </w:pPr>
      <w:r>
        <w:rPr>
          <w:rFonts w:eastAsia="Times New Roman" w:cs="Times New Roman"/>
          <w:szCs w:val="24"/>
        </w:rPr>
        <w:t>FEDERACIJE BOSNE I HERCEGOVINE</w:t>
      </w:r>
    </w:p>
    <w:p>
      <w:pPr>
        <w:pStyle w:val="Normal"/>
        <w:spacing w:lineRule="auto" w:line="276"/>
        <w:rPr>
          <w:rFonts w:eastAsia="Times New Roman" w:cs="Times New Roman"/>
          <w:szCs w:val="24"/>
        </w:rPr>
      </w:pPr>
      <w:r>
        <w:rPr>
          <w:rFonts w:eastAsia="Times New Roman" w:cs="Times New Roman"/>
          <w:szCs w:val="24"/>
        </w:rPr>
        <w:tab/>
        <w:t>Broj 08 0 K 003086 22 Kž 2</w:t>
      </w:r>
    </w:p>
    <w:p>
      <w:pPr>
        <w:pStyle w:val="Normal"/>
        <w:spacing w:lineRule="auto" w:line="276"/>
        <w:rPr>
          <w:rFonts w:eastAsia="Times New Roman" w:cs="Times New Roman"/>
          <w:szCs w:val="24"/>
        </w:rPr>
      </w:pPr>
      <w:r>
        <w:rPr>
          <w:rFonts w:eastAsia="Times New Roman" w:cs="Times New Roman"/>
          <w:szCs w:val="24"/>
        </w:rPr>
        <w:tab/>
        <w:t>Sarajevo, 24.05.2022. godine</w:t>
      </w:r>
    </w:p>
    <w:p>
      <w:pPr>
        <w:pStyle w:val="Normal"/>
        <w:spacing w:lineRule="auto" w:line="276"/>
        <w:rPr>
          <w:rFonts w:eastAsia="Times New Roman" w:cs="Times New Roman"/>
          <w:szCs w:val="24"/>
        </w:rPr>
      </w:pPr>
      <w:r>
        <w:rPr>
          <w:rFonts w:eastAsia="Times New Roman" w:cs="Times New Roman"/>
          <w:szCs w:val="24"/>
        </w:rPr>
      </w:r>
    </w:p>
    <w:p>
      <w:pPr>
        <w:pStyle w:val="Normal"/>
        <w:spacing w:lineRule="auto" w:line="276"/>
        <w:rPr>
          <w:rFonts w:eastAsia="Times New Roman" w:cs="Times New Roman"/>
          <w:szCs w:val="24"/>
        </w:rPr>
      </w:pPr>
      <w:r>
        <w:rPr>
          <w:rFonts w:eastAsia="Times New Roman" w:cs="Times New Roman"/>
          <w:szCs w:val="24"/>
        </w:rPr>
      </w:r>
    </w:p>
    <w:p>
      <w:pPr>
        <w:pStyle w:val="Normal"/>
        <w:spacing w:lineRule="auto" w:line="276"/>
        <w:jc w:val="center"/>
        <w:rPr>
          <w:rFonts w:eastAsia="Times New Roman" w:cs="Times New Roman"/>
          <w:szCs w:val="24"/>
        </w:rPr>
      </w:pPr>
      <w:r>
        <w:rPr>
          <w:rFonts w:eastAsia="Times New Roman" w:cs="Times New Roman"/>
          <w:szCs w:val="24"/>
        </w:rPr>
        <w:t>U IME FEDERACIJE BOSNE I HERCEGOVINE!</w:t>
      </w:r>
    </w:p>
    <w:p>
      <w:pPr>
        <w:pStyle w:val="Normal"/>
        <w:spacing w:lineRule="auto" w:line="276"/>
        <w:rPr>
          <w:rFonts w:eastAsia="Times New Roman" w:cs="Times New Roman"/>
          <w:szCs w:val="24"/>
        </w:rPr>
      </w:pPr>
      <w:r>
        <w:rPr>
          <w:rFonts w:eastAsia="Times New Roman" w:cs="Times New Roman"/>
          <w:szCs w:val="24"/>
        </w:rPr>
      </w:r>
    </w:p>
    <w:p>
      <w:pPr>
        <w:pStyle w:val="Normal"/>
        <w:spacing w:lineRule="auto" w:line="276"/>
        <w:rPr>
          <w:rFonts w:eastAsia="Times New Roman" w:cs="Times New Roman"/>
          <w:szCs w:val="24"/>
        </w:rPr>
      </w:pPr>
      <w:r>
        <w:rPr>
          <w:rFonts w:eastAsia="Times New Roman" w:cs="Times New Roman"/>
          <w:szCs w:val="24"/>
        </w:rPr>
      </w:r>
    </w:p>
    <w:p>
      <w:pPr>
        <w:pStyle w:val="Tijeloteksta"/>
        <w:spacing w:lineRule="auto" w:line="276"/>
        <w:ind w:firstLine="720"/>
        <w:rPr/>
      </w:pPr>
      <w:r>
        <w:rPr>
          <w:rFonts w:eastAsia="Times New Roman" w:cs="Times New Roman"/>
          <w:szCs w:val="24"/>
        </w:rPr>
        <w:t xml:space="preserve">Vrhovni sud Federacije Bosne i Hercegovine u Sarajevu, u vijeću sastavljenom od sudija Marić Slavka kao predsjednika vijeća, Radošević Sonje i Idrizović Sedina kao članova vijeća, uz sudjelovanje Šeta Mevlide kao zapisničara, u krivičnom predmetu protiv optuženog </w:t>
      </w:r>
      <w:bookmarkStart w:id="0" w:name="__DdeLink__93_1378438090"/>
      <w:r>
        <w:rPr>
          <w:rFonts w:eastAsia="Times New Roman" w:cs="Times New Roman"/>
          <w:szCs w:val="24"/>
        </w:rPr>
        <w:t>G</w:t>
      </w:r>
      <w:bookmarkEnd w:id="0"/>
      <w:r>
        <w:rPr>
          <w:rFonts w:eastAsia="Times New Roman" w:cs="Times New Roman"/>
          <w:szCs w:val="24"/>
        </w:rPr>
        <w:t>.M. zbog krivičnog djela Teška krivična djela protiv sigurnosti javnog prometa iz člana 336. stav 2., u vezi sa krivičnim djelom Ugrožavanje javnog prometa iz člana 332. stav 1. Krivičnog zakona Federacije Bosne i Hercegovine,</w:t>
      </w:r>
      <w:r>
        <w:rPr/>
        <w:t xml:space="preserve"> odlučujući o žalbi branitelja optuženog G.M., izjavljenoj protiv presude Kantonalnog suda u Širokom Brijegu broj 08 0 K 003086 20 K 2 od 23.12.2021. godine, u sjednici vijeća održanoj dana 24.05.2022. godine, u prisustvu federalnog tužitelja Stupar Dragana, a u odsustvu uredno obavještenog optuženog i njegovog branitelja advokata Herceg Ivana iz Ljubuškog, donio je</w:t>
      </w:r>
    </w:p>
    <w:p>
      <w:pPr>
        <w:pStyle w:val="Tijeloteksta"/>
        <w:spacing w:lineRule="auto" w:line="276"/>
        <w:ind w:firstLine="720"/>
        <w:rPr/>
      </w:pPr>
      <w:r>
        <w:rPr/>
      </w:r>
    </w:p>
    <w:p>
      <w:pPr>
        <w:pStyle w:val="Normal"/>
        <w:spacing w:lineRule="auto" w:line="276"/>
        <w:jc w:val="center"/>
        <w:rPr>
          <w:rFonts w:eastAsia="Times New Roman" w:cs="Times New Roman"/>
          <w:szCs w:val="24"/>
        </w:rPr>
      </w:pPr>
      <w:r>
        <w:rPr>
          <w:rFonts w:eastAsia="Times New Roman" w:cs="Times New Roman"/>
          <w:szCs w:val="24"/>
        </w:rPr>
        <w:t xml:space="preserve">P R E S U D U </w:t>
      </w:r>
    </w:p>
    <w:p>
      <w:pPr>
        <w:pStyle w:val="Normal"/>
        <w:spacing w:lineRule="auto" w:line="276"/>
        <w:jc w:val="center"/>
        <w:rPr>
          <w:rFonts w:eastAsia="Times New Roman" w:cs="Times New Roman"/>
          <w:szCs w:val="24"/>
        </w:rPr>
      </w:pPr>
      <w:r>
        <w:rPr>
          <w:rFonts w:eastAsia="Times New Roman" w:cs="Times New Roman"/>
          <w:szCs w:val="24"/>
        </w:rPr>
      </w:r>
    </w:p>
    <w:p>
      <w:pPr>
        <w:pStyle w:val="Normal"/>
        <w:spacing w:lineRule="auto" w:line="276"/>
        <w:jc w:val="center"/>
        <w:rPr>
          <w:rFonts w:eastAsia="Times New Roman" w:cs="Times New Roman"/>
          <w:szCs w:val="24"/>
        </w:rPr>
      </w:pPr>
      <w:r>
        <w:rPr>
          <w:rFonts w:eastAsia="Times New Roman" w:cs="Times New Roman"/>
          <w:szCs w:val="24"/>
        </w:rPr>
      </w:r>
    </w:p>
    <w:p>
      <w:pPr>
        <w:pStyle w:val="Normal"/>
        <w:spacing w:lineRule="auto" w:line="276"/>
        <w:ind w:firstLine="720"/>
        <w:rPr>
          <w:rFonts w:eastAsia="Times New Roman" w:cs="Times New Roman"/>
          <w:szCs w:val="24"/>
          <w:lang w:val="hr-HR"/>
        </w:rPr>
      </w:pPr>
      <w:r>
        <w:rPr>
          <w:rFonts w:eastAsia="Times New Roman" w:cs="Times New Roman"/>
          <w:szCs w:val="24"/>
          <w:lang w:val="hr-HR"/>
        </w:rPr>
        <w:t>Djelimično se uvažava žalba branitelja optuženog G.M., pa se presuda Kantonalnog suda u Širokom Brijegu broj 08 0 K 003086 20 K 2 od 23.12.2021. godine preinačava u odluci o kazni tako da se optuženi G.M., za krivično djelo Teška krivična djela protiv sigurnosti javnog prometa iz člana 336. stav 2., u vezi sa članom 332. stav 1. Krivičnog zakona Federacije Bosne i Hercegovine, za koje je oglašen krivim tom presudom, uz primjenu odredbi članova 42. i  49. stav 1. Krivičnog zakona Federacije Bosne i Hercegovine, osuđuje na kaznu zatvora u trajanju od 2 (dvije) godine.</w:t>
      </w:r>
    </w:p>
    <w:p>
      <w:pPr>
        <w:pStyle w:val="Normal"/>
        <w:spacing w:lineRule="auto" w:line="276"/>
        <w:ind w:firstLine="720"/>
        <w:rPr>
          <w:rFonts w:eastAsia="Times New Roman" w:cs="Times New Roman"/>
          <w:szCs w:val="24"/>
          <w:lang w:val="hr-HR"/>
        </w:rPr>
      </w:pPr>
      <w:r>
        <w:rPr>
          <w:rFonts w:eastAsia="Times New Roman" w:cs="Times New Roman"/>
          <w:szCs w:val="24"/>
          <w:lang w:val="hr-HR"/>
        </w:rPr>
      </w:r>
    </w:p>
    <w:p>
      <w:pPr>
        <w:pStyle w:val="Normal"/>
        <w:spacing w:lineRule="auto" w:line="276"/>
        <w:ind w:firstLine="720"/>
        <w:rPr>
          <w:rFonts w:eastAsia="Times New Roman" w:cs="Times New Roman"/>
          <w:szCs w:val="24"/>
          <w:lang w:val="hr-HR"/>
        </w:rPr>
      </w:pPr>
      <w:r>
        <w:rPr>
          <w:rFonts w:eastAsia="Times New Roman" w:cs="Times New Roman"/>
          <w:szCs w:val="24"/>
          <w:lang w:val="hr-HR"/>
        </w:rPr>
        <w:t>U ostalom dijelu prvostepena presuda ostaje neizmijenjena.</w:t>
      </w:r>
    </w:p>
    <w:p>
      <w:pPr>
        <w:pStyle w:val="Normal"/>
        <w:spacing w:lineRule="auto" w:line="276"/>
        <w:ind w:firstLine="720"/>
        <w:rPr>
          <w:rFonts w:eastAsia="Times New Roman" w:cs="Times New Roman"/>
          <w:szCs w:val="24"/>
          <w:lang w:val="hr-HR"/>
        </w:rPr>
      </w:pPr>
      <w:r>
        <w:rPr>
          <w:rFonts w:eastAsia="Times New Roman" w:cs="Times New Roman"/>
          <w:szCs w:val="24"/>
          <w:lang w:val="hr-HR"/>
        </w:rPr>
      </w:r>
    </w:p>
    <w:p>
      <w:pPr>
        <w:pStyle w:val="Normal"/>
        <w:spacing w:lineRule="auto" w:line="276"/>
        <w:ind w:firstLine="720"/>
        <w:jc w:val="center"/>
        <w:rPr>
          <w:rFonts w:eastAsia="Times New Roman" w:cs="Times New Roman"/>
          <w:szCs w:val="24"/>
          <w:lang w:val="hr-HR"/>
        </w:rPr>
      </w:pPr>
      <w:r>
        <w:rPr>
          <w:rFonts w:eastAsia="Times New Roman" w:cs="Times New Roman"/>
          <w:szCs w:val="24"/>
          <w:lang w:val="hr-HR"/>
        </w:rPr>
        <w:t>O b r a z l o ž e n j e</w:t>
      </w:r>
    </w:p>
    <w:p>
      <w:pPr>
        <w:pStyle w:val="Normal"/>
        <w:spacing w:lineRule="auto" w:line="276"/>
        <w:ind w:firstLine="720"/>
        <w:rPr>
          <w:rFonts w:eastAsia="Times New Roman" w:cs="Times New Roman"/>
          <w:szCs w:val="24"/>
          <w:lang w:val="hr-HR"/>
        </w:rPr>
      </w:pPr>
      <w:r>
        <w:rPr>
          <w:rFonts w:eastAsia="Times New Roman" w:cs="Times New Roman"/>
          <w:szCs w:val="24"/>
          <w:lang w:val="hr-HR"/>
        </w:rPr>
      </w:r>
    </w:p>
    <w:p>
      <w:pPr>
        <w:pStyle w:val="Normal"/>
        <w:spacing w:lineRule="auto" w:line="276" w:before="0" w:after="0"/>
        <w:contextualSpacing/>
        <w:rPr>
          <w:rFonts w:eastAsia="Times New Roman" w:cs="Times New Roman"/>
          <w:szCs w:val="24"/>
        </w:rPr>
      </w:pPr>
      <w:r>
        <w:rPr>
          <w:rFonts w:eastAsia="Times New Roman" w:cs="Times New Roman"/>
          <w:szCs w:val="24"/>
        </w:rPr>
      </w:r>
    </w:p>
    <w:p>
      <w:pPr>
        <w:pStyle w:val="Normal"/>
        <w:spacing w:lineRule="auto" w:line="276"/>
        <w:ind w:firstLine="720"/>
        <w:rPr>
          <w:rFonts w:eastAsia="Times New Roman" w:cs="Times New Roman"/>
          <w:szCs w:val="24"/>
        </w:rPr>
      </w:pPr>
      <w:r>
        <w:rPr>
          <w:rFonts w:eastAsia="Times New Roman" w:cs="Times New Roman"/>
          <w:szCs w:val="24"/>
        </w:rPr>
        <w:t>Presudom Kantonalnog suda u Širokom Brijegu broj 08 0 K 003086 20 K 2 od 23.12.2021. godine optuženi G.M. je oglašen krivim zbog krivičnog djela Teška krivična djela protiv sigurnosti javnog prometa iz člana 336. stav 2., u vezi sa krivičnim djelom Ugrožavanje javnog prometa iz člana 332. stav 1. Krivičnog zakona Federacije Bosne i Hercegovine (KZ FBiH), te ga je sud primjenom navedenih zakonskih odredaba i primjenom članova 42., 43. i 49. KZ FBiH osudio na kaznu zatvora u trajanju od 3 (tri) godine i 4 (četiri) mjeseca. Istom presudom, na osnovu članova 71. tačka d) i 77. KZ FBiH, optuženom G.M. je izrečena mjera sigurnosti zabrane upravljanja motornim vozilom „B“ kategorije u trajanju od 1 (jedne) godine, koja se ima računati od dana pravomoćnosti presude, s tim da se vrijeme izvršenja izrečene kazne zatvora ne uračunava u vrijeme trajanja izrečene sigurnosne mjere. Na osnovu člana 202. stav 1. Zakona o krivičnom postupku Federacije Bosne i Hercegovine (ZKP FBiH), optuženi je obavezan da nadoknadi troškove krivičnog postupka u iznosu od 1.350,00 KM, u roku od 30 dana od dana pravomoćnosti presude.</w:t>
      </w:r>
    </w:p>
    <w:p>
      <w:pPr>
        <w:pStyle w:val="Normal"/>
        <w:spacing w:lineRule="auto" w:line="276"/>
        <w:rPr>
          <w:rFonts w:eastAsia="Times New Roman" w:cs="Times New Roman"/>
          <w:szCs w:val="24"/>
        </w:rPr>
      </w:pPr>
      <w:r>
        <w:rPr>
          <w:rFonts w:eastAsia="Times New Roman" w:cs="Times New Roman"/>
          <w:szCs w:val="24"/>
        </w:rPr>
      </w:r>
    </w:p>
    <w:p>
      <w:pPr>
        <w:pStyle w:val="Normal"/>
        <w:spacing w:lineRule="auto" w:line="276"/>
        <w:ind w:firstLine="720"/>
        <w:rPr>
          <w:rFonts w:eastAsia="Times New Roman" w:cs="Times New Roman"/>
          <w:szCs w:val="24"/>
        </w:rPr>
      </w:pPr>
      <w:r>
        <w:rPr>
          <w:rFonts w:eastAsia="Times New Roman" w:cs="Times New Roman"/>
          <w:szCs w:val="24"/>
        </w:rPr>
        <w:t>Protiv ove presude žalbu je izjavio branitelj optuženog G.M., advokat Herceg Ivan iz Ljubuškog, zbog bitne povrede odredaba krivičnog postupka, povrede Krivičnog zakona, pogrešno ili nepotpuno utvrđenog činjeničnog stanja te odluke o sankciji i troškovima krivičnog postupka, s prijedlogom da se pobijana presuda preinači na način da se optuženi oslobodi od optužbe ili da mu se izrekne, kako navodi u žalbi, adekvatna sankcija, da se pobijana presuda ukine i predmet vrati prvostepenom sudu na ponovno suđenje ili da se nakon ukidanja prvostepene presude održi pretres pred Vrhovnim sudom Federacije Bosne i Hercegovine.</w:t>
      </w:r>
    </w:p>
    <w:p>
      <w:pPr>
        <w:pStyle w:val="Normal"/>
        <w:spacing w:lineRule="auto" w:line="276"/>
        <w:rPr>
          <w:rFonts w:eastAsia="Times New Roman" w:cs="Times New Roman"/>
          <w:szCs w:val="24"/>
        </w:rPr>
      </w:pPr>
      <w:r>
        <w:rPr>
          <w:rFonts w:eastAsia="Times New Roman" w:cs="Times New Roman"/>
          <w:szCs w:val="24"/>
        </w:rPr>
      </w:r>
    </w:p>
    <w:p>
      <w:pPr>
        <w:pStyle w:val="Normal"/>
        <w:spacing w:lineRule="auto" w:line="276"/>
        <w:rPr>
          <w:rFonts w:eastAsia="Times New Roman" w:cs="Times New Roman"/>
          <w:szCs w:val="24"/>
        </w:rPr>
      </w:pPr>
      <w:r>
        <w:rPr>
          <w:rFonts w:eastAsia="Times New Roman" w:cs="Times New Roman"/>
          <w:szCs w:val="24"/>
        </w:rPr>
        <w:tab/>
        <w:t>Kantonalni tužitelj iz Širokog Brijega je dao odgovor na žalbu branitelja optuženog, s prijedlogom da se ta žalba odbije kao neosnovana i potvrdi prvostepena presuda.</w:t>
      </w:r>
    </w:p>
    <w:p>
      <w:pPr>
        <w:pStyle w:val="Normal"/>
        <w:spacing w:lineRule="auto" w:line="276"/>
        <w:rPr>
          <w:rFonts w:eastAsia="Times New Roman" w:cs="Times New Roman"/>
          <w:szCs w:val="24"/>
        </w:rPr>
      </w:pPr>
      <w:r>
        <w:rPr>
          <w:rFonts w:eastAsia="Times New Roman" w:cs="Times New Roman"/>
          <w:szCs w:val="24"/>
        </w:rPr>
      </w:r>
    </w:p>
    <w:p>
      <w:pPr>
        <w:pStyle w:val="Normal"/>
        <w:spacing w:lineRule="auto" w:line="276"/>
        <w:rPr>
          <w:rFonts w:eastAsia="Times New Roman" w:cs="Times New Roman"/>
          <w:szCs w:val="24"/>
        </w:rPr>
      </w:pPr>
      <w:r>
        <w:rPr>
          <w:rFonts w:eastAsia="Times New Roman" w:cs="Times New Roman"/>
          <w:szCs w:val="24"/>
        </w:rPr>
        <w:tab/>
        <w:t>Federalni tužitelj je podneskom broj T08 0 KTŽ 0005347 22 2 od 18.02.2022. godine predložio da se žalba branitelja optuženog odbije kao neosnovana.</w:t>
      </w:r>
    </w:p>
    <w:p>
      <w:pPr>
        <w:pStyle w:val="Normal"/>
        <w:spacing w:lineRule="auto" w:line="276"/>
        <w:rPr>
          <w:rFonts w:eastAsia="Times New Roman" w:cs="Times New Roman"/>
          <w:szCs w:val="24"/>
        </w:rPr>
      </w:pPr>
      <w:r>
        <w:rPr>
          <w:rFonts w:eastAsia="Times New Roman" w:cs="Times New Roman"/>
          <w:szCs w:val="24"/>
        </w:rPr>
      </w:r>
    </w:p>
    <w:p>
      <w:pPr>
        <w:pStyle w:val="Normal"/>
        <w:spacing w:lineRule="auto" w:line="276"/>
        <w:rPr>
          <w:rFonts w:eastAsia="Times New Roman" w:cs="Times New Roman"/>
          <w:szCs w:val="24"/>
        </w:rPr>
      </w:pPr>
      <w:r>
        <w:rPr>
          <w:rFonts w:eastAsia="Times New Roman" w:cs="Times New Roman"/>
          <w:szCs w:val="24"/>
        </w:rPr>
        <w:tab/>
        <w:t>Na sjednici vijeća ovog suda koja je održana u odsutnosti uredno obavještenog optuženog G.M. i njegovog branitelja, u smislu odredbe člana 319. stav 3. ZKP FBiH, federalni tužitelj je ostao kod navoda i prijedloga iz podneska od 18.02.2022. godine.</w:t>
      </w:r>
    </w:p>
    <w:p>
      <w:pPr>
        <w:pStyle w:val="Normal"/>
        <w:spacing w:lineRule="auto" w:line="276"/>
        <w:rPr>
          <w:rFonts w:eastAsia="Times New Roman" w:cs="Times New Roman"/>
          <w:szCs w:val="24"/>
        </w:rPr>
      </w:pPr>
      <w:r>
        <w:rPr>
          <w:rFonts w:eastAsia="Times New Roman" w:cs="Times New Roman"/>
          <w:szCs w:val="24"/>
        </w:rPr>
      </w:r>
    </w:p>
    <w:p>
      <w:pPr>
        <w:pStyle w:val="Normal"/>
        <w:spacing w:lineRule="auto" w:line="276"/>
        <w:rPr>
          <w:rFonts w:eastAsia="Times New Roman" w:cs="Times New Roman"/>
          <w:szCs w:val="24"/>
        </w:rPr>
      </w:pPr>
      <w:r>
        <w:rPr>
          <w:rFonts w:eastAsia="Times New Roman" w:cs="Times New Roman"/>
          <w:szCs w:val="24"/>
        </w:rPr>
        <w:tab/>
        <w:t>Ovaj sud je ispitao pobijanu presudu u granicama žalbenih navoda branitelja optuženog  i po službenoj dužnosti, u smislu člana 321. ZKP FBiH, pa je, imajući u vidu i navode iz odgovora na žalbu, odlučio kao u izreci iz slijedećih razloga:</w:t>
      </w:r>
    </w:p>
    <w:p>
      <w:pPr>
        <w:pStyle w:val="Normal"/>
        <w:spacing w:lineRule="auto" w:line="276"/>
        <w:rPr>
          <w:rFonts w:eastAsia="Times New Roman" w:cs="Times New Roman"/>
          <w:szCs w:val="24"/>
        </w:rPr>
      </w:pPr>
      <w:r>
        <w:rPr>
          <w:rFonts w:eastAsia="Times New Roman" w:cs="Times New Roman"/>
          <w:szCs w:val="24"/>
        </w:rPr>
      </w:r>
    </w:p>
    <w:p>
      <w:pPr>
        <w:pStyle w:val="Normal"/>
        <w:spacing w:lineRule="auto" w:line="276"/>
        <w:rPr>
          <w:rFonts w:eastAsia="Times New Roman" w:cs="Times New Roman"/>
          <w:szCs w:val="24"/>
        </w:rPr>
      </w:pPr>
      <w:r>
        <w:rPr>
          <w:rFonts w:eastAsia="Times New Roman" w:cs="Times New Roman"/>
          <w:szCs w:val="24"/>
        </w:rPr>
        <w:tab/>
        <w:t xml:space="preserve">Prije svega ovaj sud primjećuje da je žalba branitelja optuženog izjavljena zbog bitnih povreda odredaba krivičnog postupka, </w:t>
      </w:r>
      <w:r>
        <w:rPr>
          <w:rFonts w:cs="Times New Roman"/>
          <w:szCs w:val="24"/>
        </w:rPr>
        <w:t>ali da se u obrazloženju žalbe ne konkretizira bilo koja bitna povreda odredaba krivičnog postupka u smislu odredbe člana 312. ZKP FBiH.</w:t>
      </w:r>
      <w:r>
        <w:rPr>
          <w:rFonts w:eastAsia="Times New Roman" w:cs="Times New Roman"/>
          <w:szCs w:val="24"/>
        </w:rPr>
        <w:t xml:space="preserve"> Kako ovaj sud ne pazi po službenoj dužnosti u smislu člana 321. ZKP FBiH na bitne povrede odredaba krivičnog postupka, to se ovaj žalbeni osnov branitelja optuženog nije mogao ispitati.</w:t>
      </w:r>
    </w:p>
    <w:p>
      <w:pPr>
        <w:pStyle w:val="Normal"/>
        <w:spacing w:lineRule="auto" w:line="276"/>
        <w:rPr>
          <w:rFonts w:eastAsia="Times New Roman" w:cs="Times New Roman"/>
          <w:szCs w:val="24"/>
        </w:rPr>
      </w:pPr>
      <w:r>
        <w:rPr>
          <w:rFonts w:eastAsia="Times New Roman" w:cs="Times New Roman"/>
          <w:szCs w:val="24"/>
        </w:rPr>
      </w:r>
    </w:p>
    <w:p>
      <w:pPr>
        <w:pStyle w:val="Normal"/>
        <w:spacing w:lineRule="auto" w:line="276"/>
        <w:rPr>
          <w:rFonts w:eastAsia="Times New Roman" w:cs="Times New Roman"/>
          <w:szCs w:val="24"/>
        </w:rPr>
      </w:pPr>
      <w:r>
        <w:rPr>
          <w:rFonts w:eastAsia="Times New Roman" w:cs="Times New Roman"/>
          <w:szCs w:val="24"/>
        </w:rPr>
        <w:tab/>
        <w:t>Zakonitost pobijane presude nije dovedena u pitanje žalbenim navodima branitelja optuženog da prvostepeni sud nije dao jasne razloge radi kojih je prihvatio saobraćajno vještačenje vještaka optužbe, ističući da nalaz i mišljenje vještaka optužbe Đorde Stjepana sadrži niz propusta i nepravilnosti. S tim u vezi branitelj navodi da pomenuti vještak nije dao valjane odgovore na niz pitanja postavljenih od strane suda i odbrane. Navedeno stoga, što su ovakvi žalbeni navodi branitelja optuženog, po nalaženju ovog suda, paušalni, budući da branitelj u žalbi ne ukazuje koje to konkretne propuste i nepravilnosti sadrži nalaz i mišljenje vještaka Đorde Stjepana. Osim toga, iz obrazloženja pobijane presude slijedi da je prvostepeni sud u bitnim dijelovima izložio sadržaj svih provedenih dokaza, pa i ovog, te potom izvršio analizu istih, a zatim je shodno načelu slobodne ocjene dokaza izveo zaključke o prihvatljivosti ili neprihvatljivosti provedenih dokaza. Dakle, dati su razlozi u pobijanoj presudi za prihvatanje nalaza i mišljenja vještaka Đorde Stjepana.</w:t>
      </w:r>
    </w:p>
    <w:p>
      <w:pPr>
        <w:pStyle w:val="Normal"/>
        <w:spacing w:lineRule="auto" w:line="276"/>
        <w:rPr>
          <w:rFonts w:eastAsia="Times New Roman" w:cs="Times New Roman"/>
          <w:szCs w:val="24"/>
        </w:rPr>
      </w:pPr>
      <w:r>
        <w:rPr>
          <w:rFonts w:eastAsia="Times New Roman" w:cs="Times New Roman"/>
          <w:szCs w:val="24"/>
        </w:rPr>
      </w:r>
    </w:p>
    <w:p>
      <w:pPr>
        <w:pStyle w:val="Normal"/>
        <w:spacing w:lineRule="auto" w:line="276"/>
        <w:rPr>
          <w:rFonts w:eastAsia="Times New Roman" w:cs="Times New Roman"/>
          <w:szCs w:val="24"/>
        </w:rPr>
      </w:pPr>
      <w:r>
        <w:rPr>
          <w:rFonts w:eastAsia="Times New Roman" w:cs="Times New Roman"/>
          <w:szCs w:val="24"/>
        </w:rPr>
        <w:tab/>
        <w:t>Branitelj u žalbi navodi da je zaključak prvostepenog suda da se u konkretnom slučaju radi o tragovima zanošenja vozila koji su nastali iz tragova kočenja, proizvoljan i kao takav suprotan zapisniku o uviđaju u kojem su samo konstatovani tragovi zanošenja. Međutim, ovi žalbeni navodi branitelja ne dovode u pitanje pravilnost pomenutog zaključka prvostepenog suda. Naime, iz obrazloženja pobijane presude (strane 7. i 8.), slijedi da je prvostepeni sud upravo cijeneći iskaz i nalaz i mišljenje vještaka optužbe saobraćajne struke Đorde Stjepana, cijeneći pri tom da je u zapisniku o uviđaju na mjestu saobraćajne nesreće konstatovan intenzivni crni neprekidni trag guma na suhom asfaltu, utvrdio činjenicu da se radi o tragovima zanošenja koji su nastali iz tragova kočenja. Stoga, se ne može prihvatiti da je izneseni zaključak prvostepenog suda proizvoljan i da je suprotan zapisniku o uviđaju, jer okolnost da su u zapisniku o uviđaju konstatovani tragovi zanošenja, sama po sebi ne znači da su nalaz vještaka kao i izneseni zaključak prvostepenog suda u suprotnosti sa zapisnikom o uviđaju.</w:t>
      </w:r>
    </w:p>
    <w:p>
      <w:pPr>
        <w:pStyle w:val="Normal"/>
        <w:spacing w:lineRule="auto" w:line="276"/>
        <w:rPr>
          <w:rFonts w:eastAsia="Times New Roman" w:cs="Times New Roman"/>
          <w:szCs w:val="24"/>
        </w:rPr>
      </w:pPr>
      <w:r>
        <w:rPr>
          <w:rFonts w:eastAsia="Times New Roman" w:cs="Times New Roman"/>
          <w:szCs w:val="24"/>
        </w:rPr>
      </w:r>
    </w:p>
    <w:p>
      <w:pPr>
        <w:pStyle w:val="Normal"/>
        <w:spacing w:lineRule="auto" w:line="276"/>
        <w:rPr>
          <w:rFonts w:eastAsia="Times New Roman" w:cs="Times New Roman"/>
          <w:szCs w:val="24"/>
        </w:rPr>
      </w:pPr>
      <w:r>
        <w:rPr>
          <w:rFonts w:eastAsia="Times New Roman" w:cs="Times New Roman"/>
          <w:szCs w:val="24"/>
        </w:rPr>
        <w:tab/>
        <w:t xml:space="preserve">Nadalje, branitelj optuženog smatra da se u konkretnom slučaju ograničenje brzine saobraćajnim znakom od 40 km/h, ne može primijeniti, jer je po Pravilniku o saobraćajnim znakovima i signalizaciji na cestama BiH, taj znak poništen pošto se nakon toga nalazi ukrštanje puta. Po mišljenju branitelja optuženog, u konkretnom slučaju je važilo ograničenje brzine za naseljena mjesta od 50 km/h. Međutim, ovi žalbeni navodi branitelja optuženog ne mogu se prihvatiti osnovanim. Naime, iz obrazloženja pobijane presude slijedi da je prvostepeni sud pri donošenju zaključka (strana 8. obrazloženja) da je na tom dijelu puta brzina kretanja vozila ograničena saobraćajnim znakom do 40 km/h imao u vidu zapisnik o uviđaju i dopis PU Ljubuški, te cijeneći iste, našao da se ispred tog zavoja (krivine) na kojem se nalazi ukrštanje sa drugom cestom nalazi saobraćajni znak kojim je ograničena brzina kretanja za vozače na 40 km/h. Obzirom da je već ulaskom u krivinu došlo do destabilizacije vozila optuženog, dakle neposredno prije ukršatanja puteva, to naprijed istaknuti žalbeni navodi ne mogu dovesti u pitanje utvrđenje prvostepenog suda da je optuženi kritične prilike bio u obavezi kretati se brzinom do 40 km/h. </w:t>
      </w:r>
    </w:p>
    <w:p>
      <w:pPr>
        <w:pStyle w:val="Normal"/>
        <w:spacing w:lineRule="auto" w:line="276"/>
        <w:rPr>
          <w:rFonts w:eastAsia="Times New Roman" w:cs="Times New Roman"/>
          <w:szCs w:val="24"/>
        </w:rPr>
      </w:pPr>
      <w:r>
        <w:rPr>
          <w:rFonts w:eastAsia="Times New Roman" w:cs="Times New Roman"/>
          <w:szCs w:val="24"/>
        </w:rPr>
      </w:r>
    </w:p>
    <w:p>
      <w:pPr>
        <w:pStyle w:val="Normal"/>
        <w:spacing w:lineRule="auto" w:line="276"/>
        <w:rPr>
          <w:rFonts w:eastAsia="Times New Roman" w:cs="Times New Roman"/>
          <w:szCs w:val="24"/>
        </w:rPr>
      </w:pPr>
      <w:r>
        <w:rPr>
          <w:rFonts w:eastAsia="Times New Roman" w:cs="Times New Roman"/>
          <w:szCs w:val="24"/>
        </w:rPr>
        <w:tab/>
        <w:t>Nadalje, iz obrazloženja pobijane presude (strana 9.) slijedi da je prvostepeni sud naveo jasne i uvjerljive razloge zbog kojih nalazi da se optuženi kretao brzinom od oko 96 km/h na dijelu puta gdje je brzina kretanja za učesnike u saobraćaju ograničena na 40 km/h, a ne brzinom od 77 km/h (kako to branitelj tvrdi) i na dijelu puta gdje je ograničenje brzine po branitelju, 50 km/h. Stoga, žalbeni navodi branitelja  kojima se ponovo ukazuje na utvrđenja vještaka odbrane u odnosu na ove činjenice, ne mogu dovesti u pitanje pravilnost pomenutog zaključka prvostepenog suda. Navedeno stoga, što je prvostepeni sud u obrazloženju pobijane presude naveo jasne i konkretne razloge zbog čega ne prihvata nalaz vještaka Ćorić Ante, kojim konkretnim razlozima se žalba branitelja optuženog ne bavi.</w:t>
      </w:r>
    </w:p>
    <w:p>
      <w:pPr>
        <w:pStyle w:val="Normal"/>
        <w:spacing w:lineRule="auto" w:line="276"/>
        <w:rPr>
          <w:rFonts w:eastAsia="Times New Roman" w:cs="Times New Roman"/>
          <w:szCs w:val="24"/>
        </w:rPr>
      </w:pPr>
      <w:r>
        <w:rPr>
          <w:rFonts w:eastAsia="Times New Roman" w:cs="Times New Roman"/>
          <w:szCs w:val="24"/>
        </w:rPr>
      </w:r>
    </w:p>
    <w:p>
      <w:pPr>
        <w:pStyle w:val="Normal"/>
        <w:spacing w:lineRule="auto" w:line="276"/>
        <w:rPr>
          <w:rFonts w:eastAsia="Times New Roman" w:cs="Times New Roman"/>
          <w:szCs w:val="24"/>
        </w:rPr>
      </w:pPr>
      <w:r>
        <w:rPr>
          <w:rFonts w:eastAsia="Times New Roman" w:cs="Times New Roman"/>
          <w:szCs w:val="24"/>
        </w:rPr>
        <w:tab/>
        <w:t>Kako iz obrazloženja pobijane presude slijedi da je prvostepeni sud, dao jasne i uvjerljive razloge zašto prihvata iskaz kao i nalaz i mišljenje vještaka Đorde Stjepana, a ne prihvata iskaz i nalaz i mišljenje vještaka odbrane Ćorić Ante, to se pravilnost pobijane presude u tom dijelu ne može dovesti u pitanje žalbenim navodima branitelja optuženog da je nalaz vještaka Đorde Stjepana protivan struci i stručnoj literaturi između ostalog i zbog toga što taj vještak nije fotografisao mjesto saobraćajne nezgode. Navedeno stoga, što takva obaveza vještaka zakonom nije propisana. Osim toga, iz stanja spisa slijedi da je povodom predmetne saobraćajne nezgode sačinjen zapisnik o uviđaju, fotodokumentacija i crtež lica mjesta saobraćajne nezgode koji su kao objektivni dokazi tužiteljstva provedeni na glavnom pretresu i kao takvi bili osnov za sačinjavanje nalaza i mišljenja od strane vještaka Đorde Stjepana.</w:t>
      </w:r>
    </w:p>
    <w:p>
      <w:pPr>
        <w:pStyle w:val="Normal"/>
        <w:spacing w:lineRule="auto" w:line="276"/>
        <w:rPr>
          <w:rFonts w:eastAsia="Times New Roman" w:cs="Times New Roman"/>
          <w:szCs w:val="24"/>
        </w:rPr>
      </w:pPr>
      <w:r>
        <w:rPr>
          <w:rFonts w:eastAsia="Times New Roman" w:cs="Times New Roman"/>
          <w:szCs w:val="24"/>
        </w:rPr>
      </w:r>
    </w:p>
    <w:p>
      <w:pPr>
        <w:pStyle w:val="Normal"/>
        <w:spacing w:lineRule="auto" w:line="276"/>
        <w:rPr>
          <w:rFonts w:eastAsia="Times New Roman" w:cs="Times New Roman"/>
          <w:szCs w:val="24"/>
        </w:rPr>
      </w:pPr>
      <w:r>
        <w:rPr>
          <w:rFonts w:eastAsia="Times New Roman" w:cs="Times New Roman"/>
          <w:szCs w:val="24"/>
        </w:rPr>
        <w:tab/>
        <w:t xml:space="preserve"> Također, ukazuju se proizvoljnim i žalbeni navodi branitelja optuženog da je prvostepeni sud odredio vještačenje po vještaku odbrane Ćorić Anti iz razloga što je nalaz vještaka Đorde Stjepana protivan pravilima struke. Iz stanja spisa slijedi da je prvostepeni sud o ovom dokaznom prijedlogu odbrane odlučio služeći se svojim ovlaštenjima iz člana 254. ZKP FBiH kao i sa aspekta da se ispoštuje pravo na odbranu optuženog. Okolnost da je prvostepeni sud prihvatio ovaj dokazni prijedlog branitelja optuženog, sama po sebi, ne predstavlja i obavezu suda da taj dokaz prihvati, prilikom ocjene dokaza u smislu odredbe člana 296. ZKP FBiH, pa se iz tih razloga ne može prihvatiti ni žalbena konstatacija „zbog čega je sud dopustio odbrani da izvede taj dokaz ako istom nije poklonio vjeru“. Ovo tim prije, što je prvostepeni sud, kako je već ranije navedeno, u obrazloženju pobijane presude naveo jasne i konkretne razloge zbog čega ne prihvata nalaz vještaka Ćorić Ante, koji konkretni razlozi se žalbom branitelja ne dovode u pitanje, osim paušalnom žalbenom tvrdnjom da je sud bez ikakvog obrazloženja našao da je nalaz tog vještaka površan i nelogičan te da nije jasno kako je prvostepeni sud došao do takvog zaključka. </w:t>
      </w:r>
    </w:p>
    <w:p>
      <w:pPr>
        <w:pStyle w:val="Normal"/>
        <w:spacing w:lineRule="auto" w:line="276"/>
        <w:rPr>
          <w:rFonts w:eastAsia="Times New Roman" w:cs="Times New Roman"/>
          <w:szCs w:val="24"/>
        </w:rPr>
      </w:pPr>
      <w:r>
        <w:rPr>
          <w:rFonts w:eastAsia="Times New Roman" w:cs="Times New Roman"/>
          <w:szCs w:val="24"/>
        </w:rPr>
      </w:r>
    </w:p>
    <w:p>
      <w:pPr>
        <w:pStyle w:val="Normal"/>
        <w:spacing w:lineRule="auto" w:line="276"/>
        <w:rPr>
          <w:rFonts w:eastAsia="Times New Roman" w:cs="Times New Roman"/>
          <w:szCs w:val="24"/>
        </w:rPr>
      </w:pPr>
      <w:r>
        <w:rPr>
          <w:rFonts w:eastAsia="Times New Roman" w:cs="Times New Roman"/>
          <w:szCs w:val="24"/>
        </w:rPr>
        <w:tab/>
        <w:t xml:space="preserve">Pravilnost pobijane presude nije dovedena u pitanje ni žalbenim navodima branitelja optuženog da je prvostepeni sud u konkretnom slučaju bio dužan da odredi tzV. nadvještačenje. Navedeno stoga što takva obaveza suda nije propisana ZKP FBiH. Naime, obaveza suda je da shodno načelu slobodne ocjene dokaza, izvede zaključke o prihvatljivosti ili neprihvatljivosti provedenih vještačenja po vještacima saobraćajne struke, dovodeći iste u međusobnu vezu kao i u vezu sa ostalim provedenim dokazima, a upravo je iz obrazloženja pobijane presude vidljivo da je prvostepeni sud postupio na prednji način, dajući pri tom jasne i uvjerljive razloge zašto je prihvatio nalaz i mišljenje vještaka optužbe, a ne vještaka odbrane. Netačni su žalbeni navodi branitelja optuženog da je načelo materijalne istine osnovno načelo u krivičnom postupku, budući da takvo što ne proizilazi iz relevantnih odredaba procesnog zakona (članovi od 1. do 20. ZKP FBiH). </w:t>
      </w:r>
    </w:p>
    <w:p>
      <w:pPr>
        <w:pStyle w:val="Normal"/>
        <w:spacing w:lineRule="auto" w:line="276"/>
        <w:rPr>
          <w:rFonts w:eastAsia="Times New Roman" w:cs="Times New Roman"/>
          <w:szCs w:val="24"/>
        </w:rPr>
      </w:pPr>
      <w:r>
        <w:rPr>
          <w:rFonts w:eastAsia="Times New Roman" w:cs="Times New Roman"/>
          <w:szCs w:val="24"/>
        </w:rPr>
      </w:r>
    </w:p>
    <w:p>
      <w:pPr>
        <w:pStyle w:val="Normal"/>
        <w:spacing w:lineRule="auto" w:line="276"/>
        <w:ind w:firstLine="708"/>
        <w:rPr>
          <w:rFonts w:eastAsia="Times New Roman" w:cs="Times New Roman"/>
          <w:szCs w:val="24"/>
          <w:lang w:val="hr-HR"/>
        </w:rPr>
      </w:pPr>
      <w:r>
        <w:rPr>
          <w:rFonts w:eastAsia="Times New Roman" w:cs="Times New Roman"/>
          <w:szCs w:val="24"/>
          <w:lang w:val="hr-HR"/>
        </w:rPr>
        <w:t>Zbog svega navedenog branitelj izražava stav da je jedino ispravno bilo u konkretnom slučaju primijeniti načelo in dubio pro reo. Međutim, okolnost da je branitelj nezadovoljan datim razlozima i zaključcima do kojih je došao prvostepeni sud, sama po sebi ne znači da je prvostepeni sud kod ocjene izvedenih dokaza pogrešno primijenio odredbu člana 3. stav 2. ZKP FBiH tj. načelo in dubio pro reo. Naime, pogodovanju optuženom kroz navedeno načelo, ima mjesta samo kada se kod suda i pored brižljive i savjesne ocjene dokaza opravdano pojavi sumnja u pogledu postojanja činjenica (koje moraju biti odlučne) koje čine obilježja krivičnog djela, ili o kojima ovisi primjena neke od odredaba krivičnog zakonodavstva, što u konkretnom predmetu nije slučaj, imajući u vidu razloge dane u pobijanoj presudi od 5. do 12. strane.</w:t>
      </w:r>
    </w:p>
    <w:p>
      <w:pPr>
        <w:pStyle w:val="Normal"/>
        <w:spacing w:lineRule="auto" w:line="276"/>
        <w:ind w:firstLine="708"/>
        <w:rPr>
          <w:rFonts w:eastAsia="Times New Roman" w:cs="Times New Roman"/>
          <w:szCs w:val="24"/>
          <w:lang w:val="hr-HR"/>
        </w:rPr>
      </w:pPr>
      <w:r>
        <w:rPr>
          <w:rFonts w:eastAsia="Times New Roman" w:cs="Times New Roman"/>
          <w:szCs w:val="24"/>
          <w:lang w:val="hr-HR"/>
        </w:rPr>
      </w:r>
    </w:p>
    <w:p>
      <w:pPr>
        <w:pStyle w:val="Normal"/>
        <w:spacing w:lineRule="auto" w:line="276"/>
        <w:ind w:firstLine="708"/>
        <w:rPr>
          <w:rFonts w:eastAsia="Times New Roman" w:cs="Times New Roman"/>
          <w:szCs w:val="24"/>
        </w:rPr>
      </w:pPr>
      <w:r>
        <w:rPr>
          <w:rFonts w:eastAsia="Times New Roman" w:cs="Times New Roman"/>
          <w:szCs w:val="24"/>
        </w:rPr>
        <w:t>Potom branitelj iznosi tvrdnju da obijesna vožnja (grubo i bezobzirno kršenje saobraćajnih propisa) postoji samo u slučaju kada se vozilo kreće brzinom od 120 km/h, koja je za ovaj sud neprihvatljiva. Naime i</w:t>
      </w:r>
      <w:r>
        <w:rPr/>
        <w:t>z odluke Vrhovnog suda Federacije Bosne i Hercegovine, objavljenoj u Biltenu broj 1/2006 proizilazi da činjenični supstrat optužnice mora sadržavati činjenice i okolnosti koje omogućavaju ocjenu da je kršenje saobraćajnih propisa bilo grubo ili bezobzirno (Odluka Vrhovnog suda FBiH broj 070-0-Kž-06-000056 od 23.03.2006.godine), odnosno da</w:t>
      </w:r>
      <w:r>
        <w:rPr>
          <w:rFonts w:eastAsia="Times New Roman" w:cs="Times New Roman"/>
          <w:szCs w:val="24"/>
        </w:rPr>
        <w:t xml:space="preserve"> je riječ o takvom kršenju saobraćajnih propisa koje prevazilazi uobičajeno kršenje saobraćajnih propisa od strane učesnika u saobraćaju. Pri tom treba imati u vidu da prilikom ocjene obima i težine kršenja saobraćajnih propisa potrebno je cijeniti sve činjenice i okolnosti koje mogu biti od značaja za zaključak da li takvo kršenje saobraćajnih propisa prevazilazi uobičajeno ponašanje u saobraćaju i postupanje koje karakteriše nedovoljna opreznost i pažljivost. Razloge za svoj zaključak o tome da je optuženi grubo i bezobzirno kršio prometne propise naznačene u izreci pobijene presude, prvostepeni sud je dao u pobijanoj presudi na stranama 9. i 12. Tako je prvostepeni sud cijenio da se optuženi pod dejstvom alkohola kretao brzinom od 96 km/h, koja je 56 km/h (dvostruko) veća od dozvoljene brzine (40 km/h), da se takvom (dvostruko većom) brzinom kretao u naseljenom mjestu, zbog čega je našao da je u takvoj njegovoj vožnji sadržana veća količina protupravnosti od one koju podrazumijeva tzV. „uobičajeno“ kršenje prometnih propisa. </w:t>
      </w:r>
    </w:p>
    <w:p>
      <w:pPr>
        <w:pStyle w:val="Normal"/>
        <w:spacing w:lineRule="auto" w:line="276"/>
        <w:ind w:firstLine="708"/>
        <w:rPr>
          <w:rFonts w:eastAsia="Times New Roman" w:cs="Times New Roman"/>
          <w:szCs w:val="24"/>
        </w:rPr>
      </w:pPr>
      <w:r>
        <w:rPr>
          <w:rFonts w:eastAsia="Times New Roman" w:cs="Times New Roman"/>
          <w:szCs w:val="24"/>
        </w:rPr>
      </w:r>
    </w:p>
    <w:p>
      <w:pPr>
        <w:pStyle w:val="Normal"/>
        <w:spacing w:lineRule="auto" w:line="276"/>
        <w:ind w:firstLine="708"/>
        <w:rPr/>
      </w:pPr>
      <w:r>
        <w:rPr>
          <w:rFonts w:eastAsia="Times New Roman" w:cs="Times New Roman"/>
          <w:szCs w:val="24"/>
        </w:rPr>
        <w:t>Nadalje, budući da iz razloga datih u obrazloženju pobijane presude (strane 10. i 11.), slijedi da je prvostepeni sud zaključio da voljni element umišljaja optuženog nije bio na razini pristajanja u odnosu na težu posljedicu i da se u konkretnom slučaju posljedica – smrt oštećenog ima pripisati nehatu, to je neosnovan žalbeni navod branitelja optuženog (strana 10. žalbe), da je prvostepeni sud zaključio da je voljni element umišljaja optuženog bio na razini pristajanja na nastupanje teže posljedice. Ovdje treba ukazati da je primarna posljedica učinjenja krivičnog djela Teška krivična djela protiv bezbjednosti javnog prometa iz člana 336. stav 2. u vezi sa članom 332. stav 1. KZ FBiH ugrožavanje bezbjednosti javnog saobraćaja i ono se (kao i osnovno krivično djelo iz člana 332. stav 1. KZ FBiH) može učiniti sa umišljajem o čemu je sud dao razloge u pobijanoj presudi, a u odnosu na težu posljedicu tog djela uvijek je u pitanju nehatno postupanje. Iz navedenih razloga bespredmetni su prigovori branitelja kojima se ukazuje da nije postojao umišljaj optuženog u odnosu na težu posljedicu jer su se optuženi i smrtno stradali V. zajedno upustili u vožnju i da optuženi nije htio da njegov prijatelj smrtno strada.</w:t>
      </w:r>
    </w:p>
    <w:p>
      <w:pPr>
        <w:pStyle w:val="Normal"/>
        <w:spacing w:lineRule="auto" w:line="276"/>
        <w:ind w:firstLine="708"/>
        <w:rPr>
          <w:rFonts w:eastAsia="Times New Roman" w:cs="Times New Roman"/>
          <w:szCs w:val="24"/>
        </w:rPr>
      </w:pPr>
      <w:r>
        <w:rPr>
          <w:rFonts w:eastAsia="Times New Roman" w:cs="Times New Roman"/>
          <w:szCs w:val="24"/>
        </w:rPr>
      </w:r>
    </w:p>
    <w:p>
      <w:pPr>
        <w:pStyle w:val="Normal"/>
        <w:spacing w:lineRule="auto" w:line="276"/>
        <w:ind w:firstLine="708"/>
        <w:rPr>
          <w:rFonts w:eastAsia="Times New Roman" w:cs="Times New Roman"/>
          <w:szCs w:val="24"/>
        </w:rPr>
      </w:pPr>
      <w:r>
        <w:rPr>
          <w:rFonts w:eastAsia="Times New Roman" w:cs="Times New Roman"/>
          <w:szCs w:val="24"/>
        </w:rPr>
        <w:t xml:space="preserve">Žalbeni navodi branitelja da u pobijanoj presudi nisu dati razlozi o uzročno posljedičnoj vezi između alkoholiziranog stanja optuženog, brzine kretanja vozila optuženog i nastanka saobraćajne nezgode ne mogu se prihvatiti, budući da iz stanja spisa slijedi da je na okolnosti stepena pijanstva optuženog i kako se utvrđeni nivo alkoholiziranosti odrazio na psihofizičke sposobnosti optuženog kao vozača, odnosno na njegovu sposobnost upravljanja motornim vozilom, provedeno neuropsihijatrijsko vještačenje. Tako je prvostepeni sud pri donošenju prednjeg zaključka cijenio da iz iskaza vještaka neuropsihijatra slijedi da se u konkretnom slučaju radilo o tzV. lakom pijanstvu (0,96 promila) koje izaziva povišeno raspoloženje kod čovjeka i povišeno samopouzdanje i generalno ima za posljedicu da osoba precjenjuje svoje sposobnosti i gubi samokritičnost, a navedeno je po nalaženju prvostepenog suda imalo za posljedicu da se optuženi kritične prilike kretao brzinom koja je za 56 km/h veća od dozvoljene brzine, odnosno brzinom od 96 km/h na dijelu puta gdje je brzina kretanja za vozače ograničena na 40 km/h, uslijed čega je došlo do destabilizacije vozila kojim je upravljao optuženi prilikom ulaska u krivinu, odnosno do nastanka saobraćajne nezgode. </w:t>
      </w:r>
    </w:p>
    <w:p>
      <w:pPr>
        <w:pStyle w:val="Normal"/>
        <w:spacing w:lineRule="auto" w:line="276"/>
        <w:rPr>
          <w:rFonts w:eastAsia="Times New Roman" w:cs="Times New Roman"/>
          <w:szCs w:val="24"/>
        </w:rPr>
      </w:pPr>
      <w:r>
        <w:rPr>
          <w:rFonts w:eastAsia="Times New Roman" w:cs="Times New Roman"/>
          <w:szCs w:val="24"/>
        </w:rPr>
      </w:r>
    </w:p>
    <w:p>
      <w:pPr>
        <w:pStyle w:val="Normal"/>
        <w:spacing w:lineRule="auto" w:line="276"/>
        <w:ind w:firstLine="708"/>
        <w:rPr>
          <w:rFonts w:eastAsia="Times New Roman" w:cs="Times New Roman"/>
          <w:szCs w:val="24"/>
        </w:rPr>
      </w:pPr>
      <w:r>
        <w:rPr>
          <w:rFonts w:eastAsia="Times New Roman" w:cs="Times New Roman"/>
          <w:szCs w:val="24"/>
        </w:rPr>
        <w:t>Iz naprijed navedenih razloga, zakonitost i pravilnost pobijane presude nije dovedena u pitanje žalbenim navodima branitelja optuženog.</w:t>
      </w:r>
    </w:p>
    <w:p>
      <w:pPr>
        <w:pStyle w:val="Normal"/>
        <w:spacing w:lineRule="auto" w:line="276"/>
        <w:ind w:firstLine="708"/>
        <w:rPr>
          <w:rFonts w:eastAsia="Times New Roman" w:cs="Times New Roman"/>
          <w:szCs w:val="24"/>
        </w:rPr>
      </w:pPr>
      <w:r>
        <w:rPr>
          <w:rFonts w:eastAsia="Times New Roman" w:cs="Times New Roman"/>
          <w:szCs w:val="24"/>
        </w:rPr>
      </w:r>
    </w:p>
    <w:p>
      <w:pPr>
        <w:pStyle w:val="Normal"/>
        <w:spacing w:lineRule="auto" w:line="276"/>
        <w:ind w:firstLine="708"/>
        <w:rPr>
          <w:rFonts w:eastAsia="Times New Roman" w:cs="Times New Roman"/>
          <w:szCs w:val="24"/>
        </w:rPr>
      </w:pPr>
      <w:r>
        <w:rPr>
          <w:rFonts w:eastAsia="Times New Roman" w:cs="Times New Roman"/>
          <w:szCs w:val="24"/>
        </w:rPr>
        <w:t>Kada je riječ o krivičnopravnoj sankciji, iz obrazloženja pobijane presude slijedi da je prvostepeni sud kao olakšavajuće okolnosti na strani optuženog cijenio mladu životnu dob, da isti do sada nije osuđivan, da je i on sam kritične prilike zadobio tjelesne povrede (potres mozga i natuknuće rebara zbog čega je tri dana bio u bolnici), da mu je smrtno stradao prijatelj, da je oženjen i otac jednog malodobnog djeteta, da je stupio u kontakt sa bratom smrtno stradalog V.a, izrazio mu sućut, kajanje i stavio se na raspolaganje za bilo kakvu pomoć.</w:t>
      </w:r>
    </w:p>
    <w:p>
      <w:pPr>
        <w:pStyle w:val="Normal"/>
        <w:spacing w:lineRule="auto" w:line="276"/>
        <w:ind w:firstLine="708"/>
        <w:rPr>
          <w:rFonts w:eastAsia="Times New Roman" w:cs="Times New Roman"/>
          <w:szCs w:val="24"/>
        </w:rPr>
      </w:pPr>
      <w:r>
        <w:rPr>
          <w:rFonts w:eastAsia="Times New Roman" w:cs="Times New Roman"/>
          <w:szCs w:val="24"/>
        </w:rPr>
      </w:r>
    </w:p>
    <w:p>
      <w:pPr>
        <w:pStyle w:val="Normal"/>
        <w:spacing w:lineRule="auto" w:line="276"/>
        <w:ind w:firstLine="708"/>
        <w:rPr/>
      </w:pPr>
      <w:r>
        <w:rPr>
          <w:rFonts w:eastAsia="Times New Roman" w:cs="Times New Roman"/>
          <w:szCs w:val="24"/>
        </w:rPr>
        <w:t xml:space="preserve"> </w:t>
      </w:r>
      <w:r>
        <w:rPr>
          <w:rFonts w:eastAsia="Times New Roman" w:cs="Times New Roman"/>
          <w:szCs w:val="24"/>
        </w:rPr>
        <w:t xml:space="preserve">Kao otežavajuće okolnosti na strani optuženog sud je cijenio to da optuženi „ni četiri godine nakon prometne nezgode nije otišao do majke stradalog i izrazio joj sućut, te da to nije učinio ni u postupku pred sudom prilikom saslušanja majke poginulog V. što sud dodatno uvjerava u izostanak iskrenog suosjećanja optuženika sa obitelji pok. V. M., a sam odlazak na sahranu je uobičajena gesta izražavanja sućuti obitelji pokojnika, prihvatljiva i dovoljna za većinu ljudi, ali, očigledno ne i za optuženika“. Po mišljenju prvostepenog suda optuženi je „morao“ naći načina da stupi u kontakt sa majkom poginulog V. (nazvati je telefonom, napisati joj pismo ili poruku), pa kako ništa od navedenog nije učinio, prvostepeni sud je to cijenio kao otežavajuću okolnost na strani optuženog. Potom je prvostepeni sud na ročištu od 24.01.2018. godine konstatirao da je kod optuženog na licu primjetan osmijeh, zbog čega je našao da držanje optuženog na sudu nije korektno, da optuženi ne shvata da je svojim radnjama ugasio jedan mladi život, da je V. njegovom krivnjom mrtav i da nikada neće imati priliku da se (kao optuženi) oženi i zasnuje obitelj. Pored navedenog, prvostepeni sud je imao u vidu i to da su krivična djela iz oblasti saobraćaja u stalnom porastu, te cijeneći sve navedeno zaključio da se samo zatvorskom kaznom u dužem trajanju može postići svrha kažnjavanja prije svega prema optuženom da shvati ozbiljnost svojih radnji i društvenu opasnost i da ga sud „spriječi“ da ponovo zauvijek ugasi još nečiji život „možda idući put posve nedužnih ljudi koji se budu kretali kao pješaci ili u vozilu iz suprotnog smjera“. </w:t>
      </w:r>
    </w:p>
    <w:p>
      <w:pPr>
        <w:pStyle w:val="Normal"/>
        <w:spacing w:lineRule="auto" w:line="276"/>
        <w:ind w:firstLine="708"/>
        <w:rPr>
          <w:rFonts w:eastAsia="Times New Roman" w:cs="Times New Roman"/>
          <w:szCs w:val="24"/>
        </w:rPr>
      </w:pPr>
      <w:r>
        <w:rPr>
          <w:rFonts w:eastAsia="Times New Roman" w:cs="Times New Roman"/>
          <w:szCs w:val="24"/>
        </w:rPr>
      </w:r>
    </w:p>
    <w:p>
      <w:pPr>
        <w:pStyle w:val="Normal"/>
        <w:spacing w:lineRule="auto" w:line="276"/>
        <w:ind w:firstLine="708"/>
        <w:rPr>
          <w:rFonts w:eastAsia="Times New Roman" w:cs="Times New Roman"/>
          <w:szCs w:val="24"/>
        </w:rPr>
      </w:pPr>
      <w:r>
        <w:rPr>
          <w:rFonts w:eastAsia="Times New Roman" w:cs="Times New Roman"/>
          <w:szCs w:val="24"/>
        </w:rPr>
        <w:t xml:space="preserve">    </w:t>
      </w:r>
      <w:r>
        <w:rPr>
          <w:rFonts w:eastAsia="Times New Roman" w:cs="Times New Roman"/>
          <w:szCs w:val="24"/>
        </w:rPr>
        <w:t>Branitelj optuženog je stava da je izrečena kazna zatvora u trajanju od 3 (tri) godine i 4 (četiri) mjeseca previsoka. S tim u vezi navodi da se optuženi iskreno kaje i da ga posljedice krivičnog djela teško pogađaju budući da je život izgubio njegov dugogodišnji prijatelj. Branitelj ukazuje i na mladost tj. godine života njegovog branjenika tj. da je i sada mlada osoba (rođen 1997. godine), a da je bio još mlađi u vrijeme izvršenja predmetnog krivičnog djela koje se dogodio prije pet godina (2017. godine), da je optuženi u međuvremenu formirao porodicu i postao otac jednog malodobnog djeteta i da ga je ovaj događaj „obilježio za čitav život“. Da je smogao snage i stupio u kontakt sa bratom poginulog V. a, izvinio mu se i rekao „da je tu, ako mu šta zatreba“. Smatra da prvostepeni sud nije mogao cijeniti kao otežavajuću okolnost to što optuženi nije prisustvovao sahrani poginulog V.a i što se nije izjavio saučešće majci poginulog V.a jer je sam optuženi izjavio „da nema hrabrosti da dođe pred tu ženu“, što je prvostepeni sud to konstatovao na strani 14. pobijane presude i navedeno cijenio kao otežavajuću okolnost, što je nedopustivo, jer svaka osoba je individua za sebe i „pati na svoj način“. Navodi i da je sasvim neprimjereno i proizvoljno da prvostepeni sud kao otežavajuću okolnost na strani optuženog cijenio „da je u jednom momentu u toku postupka na licu optuženog primijetio osmijeh“ slijedom čega je prvostepeni sud zaključio da se optuženi nekorektno ponašao na sudu. Smatra da je proizvoljan zaključak suda da su predmetna krivična djela u porastu i da to opravdava izricanje strožije kazne zatvora. Na kraju branitelj je mišljenja da je prvostepeni sud olakšavajuće okolnosti koje realno postoje na strani njegovog branjenika podcijenio, a našao otežavajuće okolnosti koje po prirodi i logici stvari ne mogu to biti, a u svakom slučaju i ako postoje, iste su precijenjene odnosno dat im je prevelik značaj.</w:t>
      </w:r>
    </w:p>
    <w:p>
      <w:pPr>
        <w:pStyle w:val="Normal"/>
        <w:spacing w:lineRule="auto" w:line="276"/>
        <w:ind w:firstLine="708"/>
        <w:rPr>
          <w:rFonts w:eastAsia="Times New Roman" w:cs="Times New Roman"/>
          <w:szCs w:val="24"/>
        </w:rPr>
      </w:pPr>
      <w:r>
        <w:rPr>
          <w:rFonts w:eastAsia="Times New Roman" w:cs="Times New Roman"/>
          <w:szCs w:val="24"/>
        </w:rPr>
      </w:r>
    </w:p>
    <w:p>
      <w:pPr>
        <w:pStyle w:val="Normal"/>
        <w:spacing w:lineRule="auto" w:line="276"/>
        <w:ind w:firstLine="708"/>
        <w:rPr>
          <w:rFonts w:eastAsia="Times New Roman" w:cs="Times New Roman"/>
          <w:szCs w:val="24"/>
        </w:rPr>
      </w:pPr>
      <w:r>
        <w:rPr>
          <w:rFonts w:eastAsia="Times New Roman" w:cs="Times New Roman"/>
          <w:szCs w:val="24"/>
        </w:rPr>
        <w:t xml:space="preserve"> </w:t>
      </w:r>
      <w:r>
        <w:rPr>
          <w:rFonts w:eastAsia="Times New Roman" w:cs="Times New Roman"/>
          <w:szCs w:val="24"/>
        </w:rPr>
        <w:t xml:space="preserve">Ovi žalbeni navodi branitelja optužnog su po nalaženju ovog suda osnovani. </w:t>
      </w:r>
    </w:p>
    <w:p>
      <w:pPr>
        <w:pStyle w:val="Normal"/>
        <w:spacing w:lineRule="auto" w:line="276"/>
        <w:ind w:firstLine="708"/>
        <w:rPr>
          <w:rFonts w:eastAsia="Times New Roman" w:cs="Times New Roman"/>
          <w:szCs w:val="24"/>
        </w:rPr>
      </w:pPr>
      <w:r>
        <w:rPr>
          <w:rFonts w:eastAsia="Times New Roman" w:cs="Times New Roman"/>
          <w:szCs w:val="24"/>
        </w:rPr>
      </w:r>
    </w:p>
    <w:p>
      <w:pPr>
        <w:pStyle w:val="Normal"/>
        <w:spacing w:lineRule="auto" w:line="276"/>
        <w:ind w:firstLine="720"/>
        <w:rPr>
          <w:rFonts w:eastAsia="Times New Roman" w:cs="Times New Roman"/>
          <w:szCs w:val="24"/>
          <w:lang w:val="hr-HR"/>
        </w:rPr>
      </w:pPr>
      <w:r>
        <w:rPr>
          <w:rFonts w:eastAsia="Times New Roman" w:cs="Times New Roman"/>
          <w:szCs w:val="24"/>
        </w:rPr>
        <w:t xml:space="preserve">Imajući u vidu naprijed navedene razloge u pobijanoj presudi kojima se prvostepeni sud rukovodio prilikom odmjeravanja kazne zatvora, osnovano se žalbom branitelja optuženog ukazuje da je prvostepeni sud podcijenio olakšavajuće okolnosti koje postoje na strani optuženog, te istima nije dao adekvatan značaj. Tako kada je u pitanju životna dob, optuženi je u vrijeme izvršenja predmetnog krivičnog djela imao nepunih 20 godina života (dakle radilo se o mlađem punoljetnom licu), a navedenoj okolnosti prvostepeni sud nije dao adekvatan značaj,  kako to branitelj osnovano ukazuje. Po nalaženju ovog suda, proizvoljan je zaključak suda da posljedice djela ne pogađaju optuženog samo iz razloga što nije prisustvovao sahrani i što još uvijek nije izrazio saučešće majci poginulog V.a, i ovu okolnost prvostepeni sud nije mogao cijeniti kao otežavajuću okolnost na strani optuženog, jer to samo po sebi ne znači da posljedice krivičnog djela ne pogađaju optuženog. Pri navedenom treba imati u vidu i to da su optuženi i smrtno stradali V. bili dugogodišnji drugovi, da su tu noć zajedno izašli, konzumirali alkohol (jer je i kod oštećenog u krvi pronađeno prisustvo alkohola), vozili se autom, a svim ovim okolnostima prvostepeni sud nije dao adekvatan značaj, odnosno podcijenio ih je. Osnovano se žalbom ukazuje i da je proizvoljan zaključak suda da se optuženi nekorektno držao na sudu samo iz razloga jer je sud na jednom od ročišta primijetio osmijeh na licu optuženog, jer to samo za sebe ne može imati za posljedicu prednji zaključak suda, niti se može vrednovati kao otežavajuća okolnost, osim ako je ponašanje optuženog takvo da izlazi iz okvira uobičajenog korektnog ponašanja. </w:t>
      </w:r>
      <w:r>
        <w:rPr/>
        <w:t>Navod suda da su predmetna krivična djela u porastu je proizvoljan i stoga ta okolnost se ne može cijeniti kao otežavajuća okolnost, u situaciji kada se ne vrši konkretna komparacija sa prethodnim periodom, već se iznosi paušalna tvrdnja da su u stalnom porastu saobraćajne nezgode sa smrtnim posljedicama.</w:t>
      </w:r>
      <w:r>
        <w:rPr>
          <w:rFonts w:eastAsia="Times New Roman" w:cs="Times New Roman"/>
          <w:szCs w:val="24"/>
          <w:lang w:val="hr-HR"/>
        </w:rPr>
        <w:t xml:space="preserve"> Zbog navedenog ovaj sud nalazi da kazna zatvora u trajanju od 3 (tri) godine i 4 (četiri) mjeseca je prestrogo odmjerena i kao takva nije srazmjerna težini krivičnog djela i stepenu krivnje optuženog. Stoga je ovaj sud, optuženog G.M. za krivično djelo za koje je oglašen krivim prvostepenom presudom, uz primjenu odredbe članova 42. i 49. stav 1. KZ FBiH, djelimičnim uvažavanjem žalbe branitelja, optuženog osudio na kaznu zatvora u trajanju od 2 (dvije) godine, nalazeći da je ovakva kazna srazmjerna težini učinjenog krivičnog djela i stepenu krivnje optuženog, da je ista dovoljna, ali i potrebna za ostvarenje svrhe kažnjavanja iz člana 42. KZ FBiH.</w:t>
      </w:r>
    </w:p>
    <w:p>
      <w:pPr>
        <w:pStyle w:val="Normal"/>
        <w:spacing w:lineRule="auto" w:line="276"/>
        <w:rPr>
          <w:rFonts w:eastAsia="Times New Roman" w:cs="Times New Roman"/>
          <w:szCs w:val="24"/>
          <w:lang w:val="hr-HR"/>
        </w:rPr>
      </w:pPr>
      <w:r>
        <w:rPr>
          <w:rFonts w:eastAsia="Times New Roman" w:cs="Times New Roman"/>
          <w:szCs w:val="24"/>
          <w:lang w:val="hr-HR"/>
        </w:rPr>
      </w:r>
    </w:p>
    <w:p>
      <w:pPr>
        <w:pStyle w:val="Normal"/>
        <w:spacing w:lineRule="auto" w:line="276"/>
        <w:ind w:firstLine="720"/>
        <w:rPr>
          <w:rFonts w:eastAsia="Times New Roman" w:cs="Times New Roman"/>
          <w:szCs w:val="24"/>
        </w:rPr>
      </w:pPr>
      <w:r>
        <w:rPr>
          <w:rFonts w:eastAsia="Times New Roman" w:cs="Times New Roman"/>
          <w:szCs w:val="24"/>
        </w:rPr>
        <w:t>S obzirom na izloženo odlučeno je u smislu člana 329. stav 1. ZKP FBiH  kao u izreci ove presude.</w:t>
      </w:r>
    </w:p>
    <w:p>
      <w:pPr>
        <w:pStyle w:val="Normal"/>
        <w:spacing w:lineRule="auto" w:line="276"/>
        <w:ind w:firstLine="720"/>
        <w:rPr>
          <w:rFonts w:eastAsia="Times New Roman" w:cs="Times New Roman"/>
          <w:szCs w:val="24"/>
        </w:rPr>
      </w:pPr>
      <w:r>
        <w:rPr>
          <w:rFonts w:eastAsia="Times New Roman" w:cs="Times New Roman"/>
          <w:szCs w:val="24"/>
        </w:rPr>
      </w:r>
    </w:p>
    <w:p>
      <w:pPr>
        <w:pStyle w:val="Normal"/>
        <w:spacing w:lineRule="auto" w:line="276"/>
        <w:ind w:firstLine="720"/>
        <w:rPr>
          <w:rFonts w:eastAsia="Times New Roman" w:cs="Times New Roman"/>
          <w:szCs w:val="24"/>
        </w:rPr>
      </w:pPr>
      <w:r>
        <w:rPr>
          <w:rFonts w:eastAsia="Times New Roman" w:cs="Times New Roman"/>
          <w:szCs w:val="24"/>
        </w:rPr>
      </w:r>
    </w:p>
    <w:p>
      <w:pPr>
        <w:pStyle w:val="Normal"/>
        <w:spacing w:lineRule="auto" w:line="276"/>
        <w:ind w:firstLine="720"/>
        <w:rPr>
          <w:rFonts w:eastAsia="Times New Roman" w:cs="Times New Roman"/>
          <w:szCs w:val="24"/>
        </w:rPr>
      </w:pPr>
      <w:r>
        <w:rPr>
          <w:rFonts w:eastAsia="Times New Roman" w:cs="Times New Roman"/>
          <w:szCs w:val="24"/>
        </w:rPr>
        <w:t xml:space="preserve">    </w:t>
      </w:r>
      <w:r>
        <w:rPr>
          <w:rFonts w:eastAsia="Times New Roman" w:cs="Times New Roman"/>
          <w:szCs w:val="24"/>
        </w:rPr>
        <w:t xml:space="preserve">Zapisničar </w:t>
        <w:tab/>
        <w:tab/>
        <w:tab/>
        <w:tab/>
        <w:tab/>
        <w:tab/>
        <w:tab/>
        <w:t>Predsjednik vijeća</w:t>
      </w:r>
    </w:p>
    <w:p>
      <w:pPr>
        <w:pStyle w:val="Normal"/>
        <w:spacing w:lineRule="auto" w:line="276"/>
        <w:ind w:firstLine="720"/>
        <w:rPr/>
      </w:pPr>
      <w:r>
        <w:rPr>
          <w:rFonts w:eastAsia="Times New Roman" w:cs="Times New Roman"/>
          <w:szCs w:val="24"/>
        </w:rPr>
        <w:t>Šeta Mevlida,s.r.                                                                       Marić Slavko,s.r.</w:t>
      </w:r>
    </w:p>
    <w:p>
      <w:pPr>
        <w:pStyle w:val="Normal"/>
        <w:spacing w:lineRule="auto" w:line="276"/>
        <w:ind w:firstLine="708"/>
        <w:rPr>
          <w:rFonts w:eastAsia="Times New Roman" w:cs="Times New Roman"/>
          <w:szCs w:val="24"/>
        </w:rPr>
      </w:pPr>
      <w:r>
        <w:rPr>
          <w:rFonts w:eastAsia="Times New Roman" w:cs="Times New Roman"/>
          <w:szCs w:val="24"/>
        </w:rPr>
      </w:r>
    </w:p>
    <w:p>
      <w:pPr>
        <w:pStyle w:val="Normal"/>
        <w:spacing w:lineRule="auto" w:line="276"/>
        <w:ind w:firstLine="708"/>
        <w:rPr>
          <w:rFonts w:eastAsia="Times New Roman" w:cs="Times New Roman"/>
          <w:szCs w:val="24"/>
        </w:rPr>
      </w:pPr>
      <w:r>
        <w:rPr>
          <w:rFonts w:eastAsia="Times New Roman" w:cs="Times New Roman"/>
          <w:szCs w:val="24"/>
        </w:rPr>
      </w:r>
    </w:p>
    <w:p>
      <w:pPr>
        <w:pStyle w:val="Normal"/>
        <w:spacing w:lineRule="auto" w:line="276"/>
        <w:ind w:firstLine="708"/>
        <w:rPr>
          <w:rFonts w:eastAsia="Times New Roman" w:cs="Times New Roman"/>
          <w:szCs w:val="24"/>
        </w:rPr>
      </w:pPr>
      <w:r>
        <w:rPr>
          <w:rFonts w:eastAsia="Times New Roman" w:cs="Times New Roman"/>
          <w:szCs w:val="24"/>
        </w:rPr>
        <w:t xml:space="preserve"> </w:t>
      </w:r>
    </w:p>
    <w:p>
      <w:pPr>
        <w:pStyle w:val="Normal"/>
        <w:spacing w:lineRule="auto" w:line="276"/>
        <w:ind w:firstLine="708"/>
        <w:rPr>
          <w:rFonts w:eastAsia="Times New Roman" w:cs="Times New Roman"/>
          <w:szCs w:val="24"/>
        </w:rPr>
      </w:pPr>
      <w:r>
        <w:rPr>
          <w:rFonts w:eastAsia="Times New Roman" w:cs="Times New Roman"/>
          <w:szCs w:val="24"/>
        </w:rPr>
      </w:r>
    </w:p>
    <w:p>
      <w:pPr>
        <w:pStyle w:val="Normal"/>
        <w:rPr>
          <w:rFonts w:eastAsia="Times New Roman" w:cs="Times New Roman"/>
          <w:szCs w:val="24"/>
        </w:rPr>
      </w:pPr>
      <w:r>
        <w:rPr>
          <w:rFonts w:eastAsia="Times New Roman" w:cs="Times New Roman"/>
          <w:szCs w:val="24"/>
        </w:rPr>
      </w:r>
    </w:p>
    <w:p>
      <w:pPr>
        <w:pStyle w:val="Normal"/>
        <w:spacing w:lineRule="auto" w:line="276"/>
        <w:rPr>
          <w:rFonts w:eastAsia="Times New Roman" w:cs="Times New Roman"/>
          <w:szCs w:val="24"/>
          <w:lang w:val="hr-HR"/>
        </w:rPr>
      </w:pPr>
      <w:r>
        <w:rPr>
          <w:rFonts w:eastAsia="Times New Roman" w:cs="Times New Roman"/>
          <w:szCs w:val="24"/>
        </w:rPr>
        <w:t xml:space="preserve"> </w:t>
      </w:r>
    </w:p>
    <w:p>
      <w:pPr>
        <w:pStyle w:val="Normal"/>
        <w:spacing w:lineRule="auto" w:line="276"/>
        <w:rPr>
          <w:rFonts w:eastAsia="Times New Roman" w:cs="Times New Roman"/>
          <w:szCs w:val="24"/>
          <w:lang w:val="hr-HR"/>
        </w:rPr>
      </w:pPr>
      <w:r>
        <w:rPr>
          <w:rFonts w:eastAsia="Times New Roman" w:cs="Times New Roman"/>
          <w:szCs w:val="24"/>
          <w:lang w:val="hr-HR"/>
        </w:rPr>
      </w:r>
    </w:p>
    <w:p>
      <w:pPr>
        <w:pStyle w:val="Normal"/>
        <w:spacing w:lineRule="auto" w:line="276"/>
        <w:rPr>
          <w:rFonts w:eastAsia="Times New Roman" w:cs="Times New Roman"/>
          <w:szCs w:val="24"/>
          <w:lang w:val="hr-HR"/>
        </w:rPr>
      </w:pPr>
      <w:r>
        <w:rPr>
          <w:rFonts w:eastAsia="Times New Roman" w:cs="Times New Roman"/>
          <w:szCs w:val="24"/>
          <w:lang w:val="hr-HR"/>
        </w:rPr>
        <w:tab/>
        <w:tab/>
        <w:tab/>
        <w:tab/>
        <w:tab/>
        <w:tab/>
        <w:tab/>
        <w:tab/>
        <w:t xml:space="preserve">               </w:t>
      </w:r>
    </w:p>
    <w:p>
      <w:pPr>
        <w:pStyle w:val="Normal"/>
        <w:spacing w:lineRule="auto" w:line="276"/>
        <w:rPr>
          <w:rFonts w:eastAsia="Times New Roman" w:cs="Times New Roman"/>
          <w:szCs w:val="24"/>
          <w:lang w:val="hr-HR"/>
        </w:rPr>
      </w:pPr>
      <w:r>
        <w:rPr>
          <w:rFonts w:eastAsia="Times New Roman" w:cs="Times New Roman"/>
          <w:szCs w:val="24"/>
          <w:lang w:val="hr-HR"/>
        </w:rPr>
      </w:r>
    </w:p>
    <w:p>
      <w:pPr>
        <w:pStyle w:val="Normal"/>
        <w:spacing w:lineRule="auto" w:line="276"/>
        <w:rPr>
          <w:rFonts w:eastAsia="Times New Roman" w:cs="Times New Roman"/>
          <w:szCs w:val="24"/>
          <w:lang w:val="hr-HR"/>
        </w:rPr>
      </w:pPr>
      <w:r>
        <w:rPr>
          <w:rFonts w:eastAsia="Times New Roman" w:cs="Times New Roman"/>
          <w:szCs w:val="24"/>
          <w:lang w:val="hr-HR"/>
        </w:rPr>
      </w:r>
      <w:bookmarkStart w:id="1" w:name="_GoBack"/>
      <w:bookmarkStart w:id="2" w:name="_GoBack"/>
      <w:bookmarkEnd w:id="2"/>
    </w:p>
    <w:p>
      <w:pPr>
        <w:pStyle w:val="Normal"/>
        <w:spacing w:lineRule="auto" w:line="276"/>
        <w:rPr/>
      </w:pPr>
      <w:r>
        <w:rPr/>
      </w:r>
    </w:p>
    <w:sectPr>
      <w:footerReference w:type="default" r:id="rId2"/>
      <w:type w:val="nextPage"/>
      <w:pgSz w:w="11906" w:h="16838"/>
      <w:pgMar w:left="1418" w:right="1418" w:header="0" w:top="1418" w:footer="709" w:bottom="1418" w:gutter="0"/>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Times New Roman">
    <w:charset w:val="01"/>
    <w:family w:val="roman"/>
    <w:pitch w:val="default"/>
  </w:font>
  <w:font w:name="Segoe UI">
    <w:charset w:val="01"/>
    <w:family w:val="roman"/>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1320294232"/>
    </w:sdtPr>
    <w:sdtContent>
      <w:p>
        <w:pPr>
          <w:pStyle w:val="Podnoje"/>
          <w:jc w:val="right"/>
          <w:rPr/>
        </w:pPr>
        <w:r>
          <w:rPr/>
          <w:fldChar w:fldCharType="begin"/>
        </w:r>
        <w:r>
          <w:rPr/>
          <w:instrText> PAGE </w:instrText>
        </w:r>
        <w:r>
          <w:rPr/>
          <w:fldChar w:fldCharType="separate"/>
        </w:r>
        <w:r>
          <w:rPr/>
          <w:t>8</w:t>
        </w:r>
        <w:r>
          <w:rPr/>
          <w:fldChar w:fldCharType="end"/>
        </w:r>
      </w:p>
    </w:sdtContent>
  </w:sdt>
  <w:p>
    <w:pPr>
      <w:pStyle w:val="Podnoje"/>
      <w:rPr/>
    </w:pPr>
    <w:r>
      <w:rPr/>
    </w:r>
  </w:p>
</w:ftr>
</file>

<file path=word/settings.xml><?xml version="1.0" encoding="utf-8"?>
<w:settings xmlns:w="http://schemas.openxmlformats.org/wordprocessingml/2006/main">
  <w:zoom w:percent="13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hyphenationZone w:val="425"/>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Calibri" w:cs="" w:cstheme="minorBidi" w:eastAsiaTheme="minorHAnsi"/>
        <w:szCs w:val="22"/>
        <w:lang w:val="en-US"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613245"/>
    <w:pPr>
      <w:widowControl/>
      <w:bidi w:val="0"/>
      <w:spacing w:before="0" w:after="0"/>
      <w:jc w:val="both"/>
    </w:pPr>
    <w:rPr>
      <w:rFonts w:ascii="Times New Roman" w:hAnsi="Times New Roman" w:eastAsia="Calibri" w:cs="" w:cstheme="minorBidi" w:eastAsiaTheme="minorHAnsi"/>
      <w:color w:val="auto"/>
      <w:kern w:val="0"/>
      <w:sz w:val="24"/>
      <w:szCs w:val="22"/>
      <w:lang w:val="bs-BA" w:eastAsia="en-US" w:bidi="ar-SA"/>
    </w:rPr>
  </w:style>
  <w:style w:type="character" w:styleId="DefaultParagraphFont" w:default="1">
    <w:name w:val="Default Paragraph Font"/>
    <w:uiPriority w:val="1"/>
    <w:semiHidden/>
    <w:unhideWhenUsed/>
    <w:qFormat/>
    <w:rPr/>
  </w:style>
  <w:style w:type="character" w:styleId="PodnojeChar" w:customStyle="1">
    <w:name w:val="Podnožje Char"/>
    <w:basedOn w:val="DefaultParagraphFont"/>
    <w:link w:val="Podnoje"/>
    <w:uiPriority w:val="99"/>
    <w:qFormat/>
    <w:rsid w:val="00c866d5"/>
    <w:rPr>
      <w:rFonts w:eastAsia="Times New Roman" w:cs="Times New Roman"/>
      <w:szCs w:val="24"/>
      <w:lang w:val="hr-HR"/>
    </w:rPr>
  </w:style>
  <w:style w:type="character" w:styleId="TekstbaloniaChar" w:customStyle="1">
    <w:name w:val="Tekst balončića Char"/>
    <w:basedOn w:val="DefaultParagraphFont"/>
    <w:link w:val="Tekstbalonia"/>
    <w:uiPriority w:val="99"/>
    <w:semiHidden/>
    <w:qFormat/>
    <w:rsid w:val="006c60d1"/>
    <w:rPr>
      <w:rFonts w:ascii="Segoe UI" w:hAnsi="Segoe UI" w:cs="Segoe UI"/>
      <w:sz w:val="18"/>
      <w:szCs w:val="18"/>
    </w:rPr>
  </w:style>
  <w:style w:type="character" w:styleId="TijelotekstaChar" w:customStyle="1">
    <w:name w:val="Tijelo teksta Char"/>
    <w:basedOn w:val="DefaultParagraphFont"/>
    <w:link w:val="Tijeloteksta"/>
    <w:uiPriority w:val="99"/>
    <w:semiHidden/>
    <w:qFormat/>
    <w:rsid w:val="00c1350c"/>
    <w:rPr/>
  </w:style>
  <w:style w:type="paragraph" w:styleId="Stilnaslova">
    <w:name w:val="Stil naslova"/>
    <w:basedOn w:val="Normal"/>
    <w:next w:val="Tijeloteksta"/>
    <w:qFormat/>
    <w:pPr>
      <w:keepNext w:val="true"/>
      <w:spacing w:before="240" w:after="120"/>
    </w:pPr>
    <w:rPr>
      <w:rFonts w:ascii="Times New Roman" w:hAnsi="Times New Roman" w:eastAsia="Microsoft YaHei" w:cs="Arial"/>
      <w:sz w:val="28"/>
      <w:szCs w:val="28"/>
    </w:rPr>
  </w:style>
  <w:style w:type="paragraph" w:styleId="Tijeloteksta">
    <w:name w:val="Body Text"/>
    <w:basedOn w:val="Normal"/>
    <w:link w:val="TijelotekstaChar"/>
    <w:uiPriority w:val="99"/>
    <w:semiHidden/>
    <w:unhideWhenUsed/>
    <w:rsid w:val="00c1350c"/>
    <w:pPr>
      <w:spacing w:before="0" w:after="120"/>
    </w:pPr>
    <w:rPr/>
  </w:style>
  <w:style w:type="paragraph" w:styleId="Popis">
    <w:name w:val="List"/>
    <w:basedOn w:val="Tijeloteksta"/>
    <w:pPr/>
    <w:rPr>
      <w:rFonts w:ascii="Times New Roman" w:hAnsi="Times New Roman" w:cs="Arial"/>
    </w:rPr>
  </w:style>
  <w:style w:type="paragraph" w:styleId="Opiselementa">
    <w:name w:val="Caption"/>
    <w:basedOn w:val="Normal"/>
    <w:qFormat/>
    <w:pPr>
      <w:suppressLineNumbers/>
      <w:spacing w:before="120" w:after="120"/>
    </w:pPr>
    <w:rPr>
      <w:rFonts w:ascii="Times New Roman" w:hAnsi="Times New Roman" w:cs="Arial"/>
      <w:i/>
      <w:iCs/>
      <w:sz w:val="24"/>
      <w:szCs w:val="24"/>
    </w:rPr>
  </w:style>
  <w:style w:type="paragraph" w:styleId="Indeks">
    <w:name w:val="Indeks"/>
    <w:basedOn w:val="Normal"/>
    <w:qFormat/>
    <w:pPr>
      <w:suppressLineNumbers/>
    </w:pPr>
    <w:rPr>
      <w:rFonts w:ascii="Times New Roman" w:hAnsi="Times New Roman" w:cs="Arial"/>
    </w:rPr>
  </w:style>
  <w:style w:type="paragraph" w:styleId="Zaglavljeipodnoje">
    <w:name w:val="Zaglavlje i podnožje"/>
    <w:basedOn w:val="Normal"/>
    <w:qFormat/>
    <w:pPr/>
    <w:rPr/>
  </w:style>
  <w:style w:type="paragraph" w:styleId="Podnoje">
    <w:name w:val="Footer"/>
    <w:basedOn w:val="Normal"/>
    <w:link w:val="PodnojeChar"/>
    <w:uiPriority w:val="99"/>
    <w:unhideWhenUsed/>
    <w:rsid w:val="00c866d5"/>
    <w:pPr>
      <w:tabs>
        <w:tab w:val="clear" w:pos="720"/>
        <w:tab w:val="center" w:pos="4680" w:leader="none"/>
        <w:tab w:val="right" w:pos="9360" w:leader="none"/>
      </w:tabs>
      <w:jc w:val="left"/>
    </w:pPr>
    <w:rPr>
      <w:rFonts w:eastAsia="Times New Roman" w:cs="Times New Roman"/>
      <w:szCs w:val="24"/>
      <w:lang w:val="hr-HR"/>
    </w:rPr>
  </w:style>
  <w:style w:type="paragraph" w:styleId="BalloonText">
    <w:name w:val="Balloon Text"/>
    <w:basedOn w:val="Normal"/>
    <w:link w:val="TekstbaloniaChar"/>
    <w:uiPriority w:val="99"/>
    <w:semiHidden/>
    <w:unhideWhenUsed/>
    <w:qFormat/>
    <w:rsid w:val="006c60d1"/>
    <w:pPr/>
    <w:rPr>
      <w:rFonts w:ascii="Segoe UI" w:hAnsi="Segoe UI" w:cs="Segoe UI"/>
      <w:sz w:val="18"/>
      <w:szCs w:val="18"/>
    </w:rPr>
  </w:style>
  <w:style w:type="paragraph" w:styleId="Default" w:customStyle="1">
    <w:name w:val="Default"/>
    <w:qFormat/>
    <w:rsid w:val="001d11fe"/>
    <w:pPr>
      <w:widowControl/>
      <w:bidi w:val="0"/>
      <w:spacing w:before="0" w:after="0"/>
      <w:jc w:val="left"/>
    </w:pPr>
    <w:rPr>
      <w:rFonts w:ascii="Times New Roman" w:hAnsi="Times New Roman" w:eastAsia="Times New Roman" w:cs="Times New Roman"/>
      <w:color w:val="000000"/>
      <w:kern w:val="0"/>
      <w:sz w:val="24"/>
      <w:szCs w:val="24"/>
      <w:lang w:val="en-US" w:eastAsia="en-US" w:bidi="ar-SA"/>
    </w:rPr>
  </w:style>
  <w:style w:type="numbering" w:styleId="NoList" w:default="1">
    <w:name w:val="No List"/>
    <w:uiPriority w:val="99"/>
    <w:semiHidden/>
    <w:unhideWhenUsed/>
    <w:qFormat/>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7D99AF-FF36-4883-9292-D787ED7916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Application>LibreOffice/6.3.4.2$Windows_X86_64 LibreOffice_project/60da17e045e08f1793c57c00ba83cdfce946d0aa</Application>
  <Pages>8</Pages>
  <Words>3729</Words>
  <Characters>20247</Characters>
  <CharactersWithSpaces>24086</CharactersWithSpaces>
  <Paragraphs>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2022-07-12T04:42:00Z</dcterms:created>
  <dc:creator>Sonja Radosevic</dc:creator>
  <dc:description/>
  <dc:language>bs-BA</dc:language>
  <cp:lastModifiedBy/>
  <cp:lastPrinted>2022-07-07T07:49:00Z</cp:lastPrinted>
  <dcterms:modified xsi:type="dcterms:W3CDTF">2022-07-19T09:25:39Z</dcterms:modified>
  <cp:revision>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