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true"/>
        <w:numPr>
          <w:ilvl w:val="0"/>
          <w:numId w:val="0"/>
        </w:numPr>
        <w:outlineLvl w:val="0"/>
        <w:rPr>
          <w:rFonts w:cs="Times New Roman"/>
          <w:b/>
          <w:b/>
          <w:bCs/>
          <w:szCs w:val="24"/>
          <w:lang w:val="hr-BA"/>
        </w:rPr>
      </w:pPr>
      <w:bookmarkStart w:id="0" w:name="_GoBack"/>
      <w:bookmarkEnd w:id="0"/>
      <w:r>
        <w:rPr>
          <w:rFonts w:cs="Times New Roman"/>
          <w:b/>
          <w:bCs/>
          <w:szCs w:val="24"/>
          <w:lang w:val="hr-BA" w:eastAsia="hr-HR"/>
        </w:rPr>
        <w:t>BOSNA I HERCEGOVINA</w:t>
      </w:r>
    </w:p>
    <w:p>
      <w:pPr>
        <w:pStyle w:val="Normal"/>
        <w:rPr>
          <w:rFonts w:cs="Times New Roman"/>
          <w:b/>
          <w:b/>
          <w:bCs/>
          <w:szCs w:val="24"/>
          <w:lang w:val="hr-BA" w:eastAsia="hr-HR"/>
        </w:rPr>
      </w:pPr>
      <w:r>
        <w:rPr>
          <w:rFonts w:cs="Times New Roman"/>
          <w:b/>
          <w:bCs/>
          <w:szCs w:val="24"/>
          <w:lang w:val="hr-BA" w:eastAsia="hr-HR"/>
        </w:rPr>
        <w:t>FEDERACIJA BOSNE I HERCEGOVINE</w:t>
      </w:r>
    </w:p>
    <w:p>
      <w:pPr>
        <w:pStyle w:val="Normal"/>
        <w:rPr>
          <w:rFonts w:cs="Times New Roman"/>
          <w:b/>
          <w:b/>
          <w:bCs/>
          <w:szCs w:val="24"/>
          <w:lang w:val="hr-BA" w:eastAsia="hr-HR"/>
        </w:rPr>
      </w:pPr>
      <w:r>
        <w:rPr>
          <w:rFonts w:cs="Times New Roman"/>
          <w:b/>
          <w:bCs/>
          <w:szCs w:val="24"/>
          <w:lang w:val="hr-BA" w:eastAsia="hr-HR"/>
        </w:rPr>
        <w:t>ŽUPANIJA ZAPADNOHERCEGOVAČKA</w:t>
      </w:r>
    </w:p>
    <w:p>
      <w:pPr>
        <w:pStyle w:val="Normal"/>
        <w:rPr>
          <w:rFonts w:cs="Times New Roman"/>
          <w:b/>
          <w:b/>
          <w:szCs w:val="24"/>
          <w:lang w:val="hr-BA" w:eastAsia="hr-HR"/>
        </w:rPr>
      </w:pPr>
      <w:r>
        <w:rPr>
          <w:rFonts w:cs="Times New Roman"/>
          <w:b/>
          <w:szCs w:val="24"/>
          <w:lang w:val="hr-BA" w:eastAsia="hr-HR"/>
        </w:rPr>
        <w:t>ŽUPANIJSKI SUD ŠIROKI BRIJEG</w:t>
      </w:r>
    </w:p>
    <w:p>
      <w:pPr>
        <w:pStyle w:val="Normal"/>
        <w:rPr>
          <w:rFonts w:cs="Times New Roman"/>
          <w:b/>
          <w:b/>
          <w:szCs w:val="24"/>
          <w:lang w:val="hr-BA" w:eastAsia="hr-HR"/>
        </w:rPr>
      </w:pPr>
      <w:r>
        <w:rPr>
          <w:rFonts w:cs="Times New Roman"/>
          <w:b/>
          <w:szCs w:val="24"/>
          <w:lang w:val="hr-BA" w:eastAsia="hr-HR"/>
        </w:rPr>
        <w:t xml:space="preserve">Broj: 08 0 K 003086 20 K 2   </w:t>
      </w:r>
    </w:p>
    <w:p>
      <w:pPr>
        <w:pStyle w:val="Normal"/>
        <w:rPr>
          <w:rFonts w:cs="Times New Roman"/>
          <w:b/>
          <w:b/>
          <w:szCs w:val="24"/>
          <w:lang w:val="hr-BA" w:eastAsia="hr-HR"/>
        </w:rPr>
      </w:pPr>
      <w:r>
        <w:rPr>
          <w:rFonts w:cs="Times New Roman"/>
          <w:b/>
          <w:szCs w:val="24"/>
          <w:lang w:val="hr-BA" w:eastAsia="hr-HR"/>
        </w:rPr>
        <w:t>Široki Brijeg, 23.12.2021. godine</w:t>
      </w:r>
    </w:p>
    <w:p>
      <w:pPr>
        <w:pStyle w:val="Normal"/>
        <w:rPr>
          <w:rFonts w:cs="Times New Roman"/>
          <w:b/>
          <w:b/>
          <w:szCs w:val="24"/>
          <w:lang w:val="hr-BA" w:eastAsia="hr-HR"/>
        </w:rPr>
      </w:pPr>
      <w:r>
        <w:rPr>
          <w:rFonts w:cs="Times New Roman"/>
          <w:b/>
          <w:szCs w:val="24"/>
          <w:lang w:val="hr-BA" w:eastAsia="hr-HR"/>
        </w:rPr>
      </w:r>
    </w:p>
    <w:p>
      <w:pPr>
        <w:pStyle w:val="Normal"/>
        <w:rPr>
          <w:rFonts w:cs="Times New Roman"/>
          <w:b/>
          <w:b/>
          <w:szCs w:val="24"/>
          <w:lang w:val="hr-BA" w:eastAsia="hr-HR"/>
        </w:rPr>
      </w:pPr>
      <w:r>
        <w:rPr>
          <w:rFonts w:cs="Times New Roman"/>
          <w:b/>
          <w:szCs w:val="24"/>
          <w:lang w:val="hr-BA" w:eastAsia="hr-HR"/>
        </w:rPr>
      </w:r>
    </w:p>
    <w:p>
      <w:pPr>
        <w:pStyle w:val="Normal"/>
        <w:jc w:val="center"/>
        <w:rPr>
          <w:rFonts w:cs="Times New Roman"/>
          <w:b/>
          <w:b/>
          <w:iCs/>
          <w:color w:val="000000"/>
          <w:szCs w:val="24"/>
          <w:lang w:val="hr-BA"/>
        </w:rPr>
      </w:pPr>
      <w:r>
        <w:rPr>
          <w:rFonts w:cs="Times New Roman"/>
          <w:b/>
          <w:iCs/>
          <w:color w:val="000000"/>
          <w:szCs w:val="24"/>
          <w:lang w:val="hr-BA"/>
        </w:rPr>
        <w:t>U IME FEDERACIJE BOSNE I HERCEGOVINE !</w:t>
      </w:r>
    </w:p>
    <w:p>
      <w:pPr>
        <w:pStyle w:val="Normal"/>
        <w:jc w:val="center"/>
        <w:rPr>
          <w:rFonts w:cs="Times New Roman"/>
          <w:b/>
          <w:b/>
          <w:iCs/>
          <w:color w:val="000000"/>
          <w:szCs w:val="24"/>
          <w:lang w:val="hr-BA"/>
        </w:rPr>
      </w:pPr>
      <w:r>
        <w:rPr>
          <w:rFonts w:cs="Times New Roman"/>
          <w:b/>
          <w:iCs/>
          <w:color w:val="000000"/>
          <w:szCs w:val="24"/>
          <w:lang w:val="hr-BA"/>
        </w:rPr>
      </w:r>
    </w:p>
    <w:p>
      <w:pPr>
        <w:pStyle w:val="Normal"/>
        <w:rPr>
          <w:rFonts w:cs="Times New Roman"/>
          <w:b/>
          <w:b/>
          <w:color w:val="000000"/>
          <w:szCs w:val="24"/>
          <w:lang w:val="hr-BA"/>
        </w:rPr>
      </w:pPr>
      <w:r>
        <w:rPr>
          <w:rFonts w:cs="Times New Roman"/>
          <w:b/>
          <w:color w:val="000000"/>
          <w:szCs w:val="24"/>
          <w:lang w:val="hr-BA"/>
        </w:rPr>
      </w:r>
    </w:p>
    <w:p>
      <w:pPr>
        <w:pStyle w:val="Normal"/>
        <w:rPr>
          <w:rFonts w:cs="Times New Roman"/>
          <w:szCs w:val="24"/>
          <w:lang w:val="hr-BA"/>
        </w:rPr>
      </w:pPr>
      <w:r>
        <w:rPr>
          <w:rFonts w:cs="Times New Roman"/>
          <w:szCs w:val="24"/>
          <w:lang w:val="hr-BA"/>
        </w:rPr>
        <w:tab/>
        <w:t xml:space="preserve">Županijski sud Široki Brijeg u vijeću sastavljenom od sudaca Katice Artuković kao predsjednice vijeća te Bosiljke Rudeš i Franje Ravlije kao članova vijeća, uz sudjelovanje Slađane Cvitanović kao zapisničarke, u kaznenom predmetu protiv optuženog </w:t>
      </w:r>
      <w:r>
        <w:rPr>
          <w:rFonts w:cs="Times New Roman"/>
          <w:szCs w:val="24"/>
          <w:lang w:val="hr-BA" w:eastAsia="hr-HR"/>
        </w:rPr>
        <w:t xml:space="preserve"> zbog kaznenog djela </w:t>
      </w:r>
      <w:r>
        <w:rPr>
          <w:rFonts w:cs="Times New Roman"/>
          <w:szCs w:val="24"/>
          <w:lang w:val="hr-BA"/>
        </w:rPr>
        <w:t xml:space="preserve">Teško kazneno djelo protiv sigurnosti javnog prometa iz članka 336 stavak 2 </w:t>
      </w:r>
      <w:r>
        <w:rPr>
          <w:rFonts w:cs="Times New Roman"/>
          <w:szCs w:val="24"/>
          <w:lang w:val="hr-BA" w:eastAsia="hr-HR"/>
        </w:rPr>
        <w:t>Kaznenog zakona Federacije Bosne i Hercegovine</w:t>
      </w:r>
      <w:r>
        <w:rPr>
          <w:rStyle w:val="Sidrofusnote"/>
          <w:rFonts w:cs="Times New Roman"/>
          <w:szCs w:val="24"/>
          <w:lang w:val="hr-BA" w:eastAsia="hr-HR"/>
        </w:rPr>
        <w:footnoteReference w:id="2"/>
      </w:r>
      <w:r>
        <w:rPr>
          <w:rFonts w:cs="Times New Roman"/>
          <w:szCs w:val="24"/>
          <w:lang w:val="hr-BA" w:eastAsia="hr-HR"/>
        </w:rPr>
        <w:t xml:space="preserve"> (u daljnjem tekstu: KZ FBiH) </w:t>
      </w:r>
      <w:r>
        <w:rPr>
          <w:rFonts w:cs="Times New Roman"/>
          <w:szCs w:val="24"/>
          <w:lang w:val="hr-BA"/>
        </w:rPr>
        <w:t xml:space="preserve">u vezi s kaznenim djelom Ugrožavanje javnog prometa iz članka 332 stavak 1 KZ FBiH, </w:t>
      </w:r>
      <w:r>
        <w:rPr>
          <w:rFonts w:cs="Times New Roman"/>
          <w:szCs w:val="24"/>
          <w:lang w:val="hr-BA" w:eastAsia="hr-HR"/>
        </w:rPr>
        <w:t xml:space="preserve">po optužnici Županijskog Tužiteljstva Županije Zapadnohercegovačke, Široki Brijeg broj: T08 0 KT 0005347 17 od 06.09.2017. godine, </w:t>
      </w:r>
      <w:r>
        <w:rPr>
          <w:rFonts w:cs="Times New Roman"/>
          <w:iCs/>
          <w:szCs w:val="24"/>
          <w:lang w:val="hr-BA"/>
        </w:rPr>
        <w:t xml:space="preserve">nakon zaključene javne glavne rasprave održane dana 20.12.2021. godine u nazočnosti Županijskog tužitelja Borislava Čuljka, optuženog  i njegovog branitelja Ivana Hercega, odvjetnika iz Ljubuškog, donio je i javno objavio dana 23.12.2021. godine </w:t>
      </w:r>
    </w:p>
    <w:p>
      <w:pPr>
        <w:pStyle w:val="Normal"/>
        <w:rPr>
          <w:rFonts w:cs="Times New Roman"/>
          <w:szCs w:val="24"/>
          <w:lang w:val="hr-BA"/>
        </w:rPr>
      </w:pPr>
      <w:r>
        <w:rPr>
          <w:rFonts w:cs="Times New Roman"/>
          <w:szCs w:val="24"/>
          <w:lang w:val="hr-BA"/>
        </w:rPr>
      </w:r>
    </w:p>
    <w:p>
      <w:pPr>
        <w:pStyle w:val="Normal"/>
        <w:jc w:val="center"/>
        <w:rPr>
          <w:rFonts w:cs="Times New Roman"/>
          <w:b/>
          <w:b/>
          <w:szCs w:val="24"/>
          <w:lang w:val="hr-BA"/>
        </w:rPr>
      </w:pPr>
      <w:r>
        <w:rPr>
          <w:rFonts w:cs="Times New Roman"/>
          <w:b/>
          <w:szCs w:val="24"/>
          <w:lang w:val="hr-BA"/>
        </w:rPr>
        <w:t>P R E S U D U</w:t>
      </w:r>
    </w:p>
    <w:p>
      <w:pPr>
        <w:pStyle w:val="Normal"/>
        <w:jc w:val="center"/>
        <w:rPr>
          <w:rFonts w:cs="Times New Roman"/>
          <w:b/>
          <w:b/>
          <w:szCs w:val="24"/>
          <w:lang w:val="hr-BA"/>
        </w:rPr>
      </w:pPr>
      <w:r>
        <w:rPr>
          <w:rFonts w:cs="Times New Roman"/>
          <w:b/>
          <w:szCs w:val="24"/>
          <w:lang w:val="hr-BA"/>
        </w:rPr>
      </w:r>
    </w:p>
    <w:p>
      <w:pPr>
        <w:pStyle w:val="Normal"/>
        <w:rPr/>
      </w:pPr>
      <w:r>
        <w:rPr>
          <w:b/>
          <w:lang w:val="hr-BA"/>
        </w:rPr>
        <w:tab/>
        <w:t xml:space="preserve">I. OPTUŽENI </w:t>
      </w:r>
      <w:r>
        <w:rPr>
          <w:b/>
          <w:bCs/>
          <w:iCs/>
          <w:lang w:val="hr-BA"/>
        </w:rPr>
        <w:t xml:space="preserve"> </w:t>
      </w:r>
      <w:r>
        <w:rPr>
          <w:bCs/>
          <w:iCs/>
          <w:lang w:val="hr-BA"/>
        </w:rPr>
        <w:t xml:space="preserve">sin Z. i I. rođene T., rođen .... u M., R.H., stalno nastanjen u mjestu ... općina Lj., JMB: ..., H., državljanin B. i H. i R. H., pismen sa završenom SSS, po zanimanju kamenoklesar, zaposlen kao skladištar u mesnoj industriji „braća Pivac“, Republika Hrvatska, oženjen, otac 1 maloljetnog djeteta, vojsku nije služio, vodi se u vojnoj evidenciji Ureda za obranu Ljubuški, bez čina i odlikovanja, lošeg imovnog stanja, </w:t>
      </w:r>
      <w:r>
        <w:rPr>
          <w:lang w:val="hr-BA"/>
        </w:rPr>
        <w:t>ranije neosuđivan, drugi kazneni postupak se ne vodi protiv njega,</w:t>
      </w:r>
      <w:r>
        <w:rPr>
          <w:bCs/>
          <w:iCs/>
          <w:lang w:val="hr-BA"/>
        </w:rPr>
        <w:t xml:space="preserve"> nalazi se na slobodi</w:t>
      </w:r>
    </w:p>
    <w:p>
      <w:pPr>
        <w:pStyle w:val="Normal"/>
        <w:rPr>
          <w:rFonts w:cs="Times New Roman"/>
          <w:bCs/>
          <w:szCs w:val="24"/>
          <w:lang w:val="hr-BA"/>
        </w:rPr>
      </w:pPr>
      <w:r>
        <w:rPr>
          <w:rFonts w:cs="Times New Roman"/>
          <w:bCs/>
          <w:szCs w:val="24"/>
          <w:lang w:val="hr-BA"/>
        </w:rPr>
      </w:r>
    </w:p>
    <w:p>
      <w:pPr>
        <w:pStyle w:val="Normal"/>
        <w:rPr>
          <w:rFonts w:cs="Times New Roman"/>
          <w:b/>
          <w:b/>
          <w:szCs w:val="24"/>
          <w:lang w:val="hr-BA"/>
        </w:rPr>
      </w:pPr>
      <w:r>
        <w:rPr>
          <w:rFonts w:cs="Times New Roman"/>
          <w:b/>
          <w:szCs w:val="24"/>
          <w:lang w:val="hr-BA"/>
        </w:rPr>
        <w:tab/>
        <w:tab/>
        <w:tab/>
        <w:tab/>
        <w:tab/>
        <w:t xml:space="preserve">      K R I V    J E</w:t>
      </w:r>
    </w:p>
    <w:p>
      <w:pPr>
        <w:pStyle w:val="Normal"/>
        <w:rPr>
          <w:rFonts w:cs="Times New Roman"/>
          <w:szCs w:val="24"/>
          <w:lang w:val="hr-BA"/>
        </w:rPr>
      </w:pPr>
      <w:r>
        <w:rPr>
          <w:rFonts w:cs="Times New Roman"/>
          <w:szCs w:val="24"/>
          <w:lang w:val="hr-BA"/>
        </w:rPr>
      </w:r>
    </w:p>
    <w:p>
      <w:pPr>
        <w:pStyle w:val="Normal"/>
        <w:rPr>
          <w:rFonts w:cs="Times New Roman"/>
          <w:b/>
          <w:b/>
          <w:szCs w:val="24"/>
          <w:lang w:val="hr-BA"/>
        </w:rPr>
      </w:pPr>
      <w:r>
        <w:rPr>
          <w:rFonts w:cs="Times New Roman"/>
          <w:szCs w:val="24"/>
          <w:lang w:val="hr-BA"/>
        </w:rPr>
        <w:tab/>
      </w:r>
      <w:r>
        <w:rPr>
          <w:rFonts w:cs="Times New Roman"/>
          <w:b/>
          <w:szCs w:val="24"/>
          <w:lang w:val="hr-BA"/>
        </w:rPr>
        <w:t>Š t o  je:</w:t>
      </w:r>
    </w:p>
    <w:p>
      <w:pPr>
        <w:pStyle w:val="Normal"/>
        <w:rPr>
          <w:rFonts w:cs="Times New Roman"/>
          <w:b/>
          <w:b/>
          <w:szCs w:val="24"/>
          <w:lang w:val="hr-BA"/>
        </w:rPr>
      </w:pPr>
      <w:r>
        <w:rPr>
          <w:rFonts w:cs="Times New Roman"/>
          <w:b/>
          <w:szCs w:val="24"/>
          <w:lang w:val="hr-BA"/>
        </w:rPr>
      </w:r>
    </w:p>
    <w:p>
      <w:pPr>
        <w:pStyle w:val="Normal"/>
        <w:ind w:firstLine="708"/>
        <w:rPr/>
      </w:pPr>
      <w:r>
        <w:rPr>
          <w:rFonts w:cs="Times New Roman"/>
          <w:szCs w:val="24"/>
          <w:lang w:val="hr-BA"/>
        </w:rPr>
        <w:tab/>
        <w:t xml:space="preserve"> Dana 01.03.2017. godine, oko 00,20 sati u mjestu Proboj, općina Ljubuški, na dijelu  magistralne ceste  M-6, Ljubuški-Grude, upravljao osobnim vozilom marke „BMW“ tip „3“, reg. oznaka MA 161 CD, vlasništvo A. Š., krećući se iz smjera Ljubuškog  u smjeru Gruda, postupio suprotno odredbi članka 177 stavak 1 i stavak 2, članka 40 stavak 1 i članka 45 stavak 4 Zakona o sigurnosti prometa na cestama u Županiji Zapadnohercegovačkoj</w:t>
      </w:r>
      <w:r>
        <w:rPr>
          <w:rStyle w:val="Sidrofusnote"/>
          <w:rFonts w:cs="Times New Roman"/>
          <w:szCs w:val="24"/>
          <w:lang w:val="hr-BA"/>
        </w:rPr>
        <w:footnoteReference w:id="3"/>
      </w:r>
      <w:r>
        <w:rPr>
          <w:rFonts w:cs="Times New Roman"/>
          <w:szCs w:val="24"/>
          <w:lang w:val="hr-BA"/>
        </w:rPr>
        <w:t>, na način da je vozilom upravljao pod utjecajem alkohola s koncentracijom alkohola u krvi od (20,84 mmol/l) 0,96 promila, krećući se brzinom od oko 96 km/h, ne poštujući prometnim znakom ograničenu brzinu od 40 km/h, iako je bio svjestan da takvim radnjama  grubo i bezobzirno krši prometne propise i da uslijed toga može ugroziti javni promet te izazvati opasnost za sudionike u prometu na što je pristao, pa je tako ulaskom u krivinu lijevog smjera, gledano iz smjera kretanja njegovog vozila izgubio kontrolu nad upravljačem i vozilom prešao na lijevu kolničku traku, pri čemu je desnom bočnom stranom vozila ostvario kontakt sa rubnikom, a potom je desnom bočnom stranom vozila udario u metalni rasvjetni stup koji se nalazio na nogostupu, posljedicom čega je suvozač u njegovom vozilu V. M., zadobio teške tjelesne ozljede u obliku prijeloma krunastog nastavka donje čeljusti desne strane, prijeloma poprečnih nastavaka 2. prsnog kralješka (Th2) i prijeloma poprečnih nastavaka desne strane 2. i 3. leđnog  kralješka (L2, L3) leđnog dijela kralježnice, prijeloma desne ključne kosti i desne lopatične kosti, prijeloma rebara III. i IX. lijeve strane prsišta i od I. do VII. desne strane prsišta, krvnog podljeva oko oba bubrega, od  kojih je dana 18.03.2017. godine u 07,40 sati preminuo u SKB Mostar.</w:t>
      </w:r>
    </w:p>
    <w:p>
      <w:pPr>
        <w:pStyle w:val="Normal"/>
        <w:ind w:firstLine="708"/>
        <w:rPr>
          <w:rFonts w:cs="Times New Roman"/>
          <w:szCs w:val="24"/>
          <w:lang w:val="hr-BA"/>
        </w:rPr>
      </w:pPr>
      <w:r>
        <w:rPr>
          <w:rFonts w:cs="Times New Roman"/>
          <w:szCs w:val="24"/>
          <w:lang w:val="hr-BA"/>
        </w:rPr>
      </w:r>
    </w:p>
    <w:p>
      <w:pPr>
        <w:pStyle w:val="Normal"/>
        <w:rPr>
          <w:rFonts w:cs="Times New Roman"/>
          <w:iCs/>
          <w:szCs w:val="24"/>
          <w:lang w:val="hr-BA"/>
        </w:rPr>
      </w:pPr>
      <w:r>
        <w:rPr>
          <w:rFonts w:cs="Times New Roman"/>
          <w:szCs w:val="24"/>
          <w:lang w:val="hr-BA"/>
        </w:rPr>
        <w:t xml:space="preserve">              </w:t>
      </w:r>
      <w:r>
        <w:rPr>
          <w:rFonts w:cs="Times New Roman"/>
          <w:iCs/>
          <w:szCs w:val="24"/>
          <w:lang w:val="hr-BA"/>
        </w:rPr>
        <w:t xml:space="preserve">Dakle, sudjelujući u prometu na cestama nije se pridržavao prometnih propisa i time tako ugrozio javni promet, da je doveo u opasnost život ljudi, pri čemu je prouzročena smrt jedne osobe. </w:t>
      </w:r>
    </w:p>
    <w:p>
      <w:pPr>
        <w:pStyle w:val="BodyText2"/>
        <w:jc w:val="both"/>
        <w:rPr>
          <w:b w:val="false"/>
          <w:b w:val="false"/>
          <w:lang w:val="hr-BA"/>
        </w:rPr>
      </w:pPr>
      <w:r>
        <w:rPr>
          <w:lang w:val="hr-BA"/>
        </w:rPr>
        <w:t xml:space="preserve"> </w:t>
      </w:r>
    </w:p>
    <w:p>
      <w:pPr>
        <w:pStyle w:val="Normal"/>
        <w:ind w:firstLine="360"/>
        <w:rPr>
          <w:rFonts w:cs="Times New Roman"/>
          <w:bCs/>
          <w:iCs/>
          <w:szCs w:val="24"/>
          <w:lang w:val="hr-BA"/>
        </w:rPr>
      </w:pPr>
      <w:r>
        <w:rPr>
          <w:rFonts w:cs="Times New Roman"/>
          <w:iCs/>
          <w:szCs w:val="24"/>
          <w:lang w:val="hr-BA"/>
        </w:rPr>
        <w:t xml:space="preserve">       </w:t>
      </w:r>
      <w:r>
        <w:rPr>
          <w:rFonts w:cs="Times New Roman"/>
          <w:iCs/>
          <w:szCs w:val="24"/>
          <w:lang w:val="hr-BA"/>
        </w:rPr>
        <w:t xml:space="preserve">Čime je počinio kazneno djelo Teško kazneno djelo protiv sigurnosti javnog prometa iz članka 336 stavak 2 KZ FBiH u vezi sa kaznenim djelom Ugrožavanje javnog prometa iz članka 332 stavak 1 KZ FBiH, </w:t>
      </w:r>
      <w:r>
        <w:rPr>
          <w:rFonts w:cs="Times New Roman"/>
          <w:szCs w:val="24"/>
          <w:lang w:val="hr-BA"/>
        </w:rPr>
        <w:t>pa ga sud temeljem navedenih zakonskih propisa i uz primjenu članaka 42, 43 i 49 K</w:t>
      </w:r>
      <w:r>
        <w:rPr>
          <w:rFonts w:cs="Times New Roman"/>
          <w:bCs/>
          <w:iCs/>
          <w:szCs w:val="24"/>
          <w:lang w:val="hr-BA"/>
        </w:rPr>
        <w:t>Z FBiH</w:t>
      </w:r>
    </w:p>
    <w:p>
      <w:pPr>
        <w:pStyle w:val="Normal"/>
        <w:ind w:firstLine="360"/>
        <w:rPr>
          <w:rFonts w:cs="Times New Roman"/>
          <w:szCs w:val="24"/>
          <w:lang w:val="hr-BA"/>
        </w:rPr>
      </w:pPr>
      <w:r>
        <w:rPr>
          <w:rFonts w:cs="Times New Roman"/>
          <w:szCs w:val="24"/>
          <w:lang w:val="hr-BA"/>
        </w:rPr>
      </w:r>
    </w:p>
    <w:p>
      <w:pPr>
        <w:pStyle w:val="Normal"/>
        <w:jc w:val="center"/>
        <w:rPr>
          <w:rFonts w:cs="Times New Roman"/>
          <w:b/>
          <w:b/>
          <w:szCs w:val="24"/>
          <w:lang w:val="hr-BA"/>
        </w:rPr>
      </w:pPr>
      <w:r>
        <w:rPr>
          <w:rFonts w:cs="Times New Roman"/>
          <w:b/>
          <w:szCs w:val="24"/>
          <w:lang w:val="hr-BA"/>
        </w:rPr>
        <w:t>O  S  U  Đ  U  J  E</w:t>
      </w:r>
    </w:p>
    <w:p>
      <w:pPr>
        <w:pStyle w:val="Normal"/>
        <w:jc w:val="center"/>
        <w:rPr>
          <w:rFonts w:cs="Times New Roman"/>
          <w:b/>
          <w:b/>
          <w:szCs w:val="24"/>
          <w:lang w:val="hr-BA"/>
        </w:rPr>
      </w:pPr>
      <w:r>
        <w:rPr>
          <w:rFonts w:cs="Times New Roman"/>
          <w:b/>
          <w:szCs w:val="24"/>
          <w:lang w:val="hr-BA"/>
        </w:rPr>
      </w:r>
    </w:p>
    <w:p>
      <w:pPr>
        <w:pStyle w:val="Normal"/>
        <w:jc w:val="center"/>
        <w:rPr>
          <w:rFonts w:cs="Times New Roman"/>
          <w:b/>
          <w:b/>
          <w:szCs w:val="24"/>
          <w:lang w:val="hr-BA"/>
        </w:rPr>
      </w:pPr>
      <w:r>
        <w:rPr>
          <w:rFonts w:cs="Times New Roman"/>
          <w:b/>
          <w:szCs w:val="24"/>
          <w:lang w:val="hr-BA"/>
        </w:rPr>
        <w:t xml:space="preserve">NA KAZNU ZATVORA U TRAJANJU OD  </w:t>
      </w:r>
    </w:p>
    <w:p>
      <w:pPr>
        <w:pStyle w:val="Normal"/>
        <w:jc w:val="center"/>
        <w:rPr>
          <w:rFonts w:cs="Times New Roman"/>
          <w:b/>
          <w:b/>
          <w:szCs w:val="24"/>
          <w:lang w:val="hr-BA"/>
        </w:rPr>
      </w:pPr>
      <w:r>
        <w:rPr>
          <w:rFonts w:cs="Times New Roman"/>
          <w:b/>
          <w:szCs w:val="24"/>
          <w:lang w:val="hr-BA"/>
        </w:rPr>
      </w:r>
    </w:p>
    <w:p>
      <w:pPr>
        <w:pStyle w:val="Normal"/>
        <w:jc w:val="center"/>
        <w:rPr>
          <w:rFonts w:cs="Times New Roman"/>
          <w:b/>
          <w:b/>
          <w:szCs w:val="24"/>
          <w:lang w:val="hr-BA"/>
        </w:rPr>
      </w:pPr>
      <w:r>
        <w:rPr>
          <w:rFonts w:cs="Times New Roman"/>
          <w:b/>
          <w:szCs w:val="24"/>
          <w:lang w:val="hr-BA"/>
        </w:rPr>
        <w:t xml:space="preserve"> </w:t>
      </w:r>
      <w:r>
        <w:rPr>
          <w:rFonts w:cs="Times New Roman"/>
          <w:b/>
          <w:szCs w:val="24"/>
          <w:lang w:val="hr-BA"/>
        </w:rPr>
        <w:t>3 (TRI) GODINE I 4 (ČETIRI) MJESECA</w:t>
      </w:r>
    </w:p>
    <w:p>
      <w:pPr>
        <w:pStyle w:val="Normal"/>
        <w:jc w:val="center"/>
        <w:rPr>
          <w:rFonts w:cs="Times New Roman"/>
          <w:b/>
          <w:b/>
          <w:szCs w:val="24"/>
          <w:lang w:val="hr-BA"/>
        </w:rPr>
      </w:pPr>
      <w:r>
        <w:rPr>
          <w:rFonts w:cs="Times New Roman"/>
          <w:b/>
          <w:szCs w:val="24"/>
          <w:lang w:val="hr-BA"/>
        </w:rPr>
      </w:r>
    </w:p>
    <w:p>
      <w:pPr>
        <w:pStyle w:val="Normal"/>
        <w:jc w:val="center"/>
        <w:rPr>
          <w:rFonts w:cs="Times New Roman"/>
          <w:b/>
          <w:b/>
          <w:szCs w:val="24"/>
          <w:lang w:val="hr-BA"/>
        </w:rPr>
      </w:pPr>
      <w:r>
        <w:rPr>
          <w:rFonts w:cs="Times New Roman"/>
          <w:b/>
          <w:szCs w:val="24"/>
          <w:lang w:val="hr-BA"/>
        </w:rPr>
      </w:r>
    </w:p>
    <w:p>
      <w:pPr>
        <w:pStyle w:val="Normal"/>
        <w:ind w:firstLine="720"/>
        <w:rPr>
          <w:rFonts w:cs="Times New Roman"/>
          <w:szCs w:val="24"/>
          <w:lang w:val="hr-BA"/>
        </w:rPr>
      </w:pPr>
      <w:r>
        <w:rPr>
          <w:rFonts w:cs="Times New Roman"/>
          <w:b/>
          <w:szCs w:val="24"/>
          <w:lang w:val="hr-BA"/>
        </w:rPr>
        <w:t>II.</w:t>
      </w:r>
      <w:r>
        <w:rPr>
          <w:rFonts w:cs="Times New Roman"/>
          <w:szCs w:val="24"/>
          <w:lang w:val="hr-BA"/>
        </w:rPr>
        <w:t xml:space="preserve"> Temeljem članka 71 točka d) i članka 77 KZ FBiH, optuženom M.G. izriče se mjera sigurnosti zabrane upravljanja motornim vozilom „B“ kategorije u trajanju od 1 (jedne) godine, koja se ima računati od dana pravomoćnosti presude, s tim da se vrijeme izvršenja izrečene kazne zatvora ne uračunava u vrijeme trajanja izrečene sigurnosne mjere.</w:t>
      </w:r>
    </w:p>
    <w:p>
      <w:pPr>
        <w:pStyle w:val="Normal"/>
        <w:jc w:val="center"/>
        <w:rPr>
          <w:rFonts w:cs="Times New Roman"/>
          <w:szCs w:val="24"/>
          <w:lang w:val="hr-BA"/>
        </w:rPr>
      </w:pPr>
      <w:r>
        <w:rPr>
          <w:rFonts w:cs="Times New Roman"/>
          <w:szCs w:val="24"/>
          <w:lang w:val="hr-BA"/>
        </w:rPr>
      </w:r>
    </w:p>
    <w:p>
      <w:pPr>
        <w:pStyle w:val="Normal"/>
        <w:tabs>
          <w:tab w:val="clear" w:pos="720"/>
          <w:tab w:val="left" w:pos="0" w:leader="none"/>
        </w:tabs>
        <w:rPr>
          <w:rFonts w:cs="Times New Roman"/>
          <w:szCs w:val="24"/>
          <w:lang w:val="hr-BA"/>
        </w:rPr>
      </w:pPr>
      <w:r>
        <w:rPr>
          <w:rFonts w:cs="Times New Roman"/>
          <w:b/>
          <w:szCs w:val="24"/>
          <w:lang w:val="hr-BA"/>
        </w:rPr>
        <w:tab/>
        <w:t>III.</w:t>
      </w:r>
      <w:r>
        <w:rPr>
          <w:rFonts w:cs="Times New Roman"/>
          <w:szCs w:val="24"/>
          <w:lang w:val="hr-BA"/>
        </w:rPr>
        <w:t xml:space="preserve"> Temeljem članka 202 stavak 1 Zakona o kaznenom postupku Federacije Bosne i Hercegovine</w:t>
      </w:r>
      <w:r>
        <w:rPr>
          <w:rStyle w:val="Sidrofusnote"/>
          <w:rFonts w:cs="Times New Roman"/>
          <w:szCs w:val="24"/>
          <w:lang w:val="hr-BA"/>
        </w:rPr>
        <w:footnoteReference w:id="4"/>
      </w:r>
      <w:r>
        <w:rPr>
          <w:rFonts w:cs="Times New Roman"/>
          <w:szCs w:val="24"/>
          <w:lang w:val="hr-BA"/>
        </w:rPr>
        <w:t xml:space="preserve"> (u daljnjem tekstu: ZKP FBiH) optuženi  se obvezuje nadoknaditi troškove kaznenog postupka u iznosu od 1.350,00 KM, sve u roku 30 dana po pravomoćnosti presude i pod prijetnjom ovrhe.</w:t>
      </w:r>
    </w:p>
    <w:p>
      <w:pPr>
        <w:pStyle w:val="Normal"/>
        <w:rPr>
          <w:rFonts w:cs="Times New Roman"/>
          <w:szCs w:val="24"/>
          <w:lang w:val="hr-BA"/>
        </w:rPr>
      </w:pPr>
      <w:r>
        <w:rPr>
          <w:rFonts w:cs="Times New Roman"/>
          <w:szCs w:val="24"/>
          <w:lang w:val="hr-BA"/>
        </w:rPr>
      </w:r>
    </w:p>
    <w:p>
      <w:pPr>
        <w:pStyle w:val="Normal"/>
        <w:jc w:val="center"/>
        <w:rPr>
          <w:rFonts w:cs="Times New Roman"/>
          <w:b/>
          <w:b/>
          <w:szCs w:val="24"/>
          <w:lang w:val="hr-BA"/>
        </w:rPr>
      </w:pPr>
      <w:r>
        <w:rPr>
          <w:rFonts w:cs="Times New Roman"/>
          <w:b/>
          <w:szCs w:val="24"/>
          <w:lang w:val="hr-BA"/>
        </w:rPr>
        <w:t>O b r a z l o ž e n j e</w:t>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tab/>
        <w:t xml:space="preserve">Županijsko Tužiteljstvo Županije Zapadnohercegovačke, Široki Brijeg (u daljnjem tekstu: Tužiteljstvo) je Optužnicom broj: T08 0 KT 0005347 17 od 06.09.2017. godine (u daljnjem tekstu: optužnica), optužilo  da je počinio kazneno djelo Teško kazneno djelo protiv sigurnosti javnog prometa iz članka 336 stavak 2 </w:t>
      </w:r>
      <w:r>
        <w:rPr>
          <w:rFonts w:cs="Times New Roman"/>
          <w:szCs w:val="24"/>
          <w:lang w:val="hr-BA" w:eastAsia="hr-HR"/>
        </w:rPr>
        <w:t xml:space="preserve">KZ FBiH </w:t>
      </w:r>
      <w:r>
        <w:rPr>
          <w:rFonts w:cs="Times New Roman"/>
          <w:szCs w:val="24"/>
          <w:lang w:val="hr-BA"/>
        </w:rPr>
        <w:t xml:space="preserve">u vezi s kaznenim djelom Ugrožavanje javnog prometa iz članka 332 stavak 1 KZ FBiH, na način opisan u dispozitivu, koja je u cijelosti potvrđena dana 08.09.2017. godine. </w:t>
      </w:r>
    </w:p>
    <w:p>
      <w:pPr>
        <w:pStyle w:val="Normal"/>
        <w:ind w:firstLine="720"/>
        <w:rPr>
          <w:rFonts w:cs="Times New Roman"/>
          <w:szCs w:val="24"/>
          <w:lang w:val="hr-BA"/>
        </w:rPr>
      </w:pPr>
      <w:r>
        <w:rPr>
          <w:rFonts w:cs="Times New Roman"/>
          <w:szCs w:val="24"/>
          <w:lang w:val="hr-BA"/>
        </w:rPr>
        <w:t xml:space="preserve">Na ročištu za izjašnjenje o krivnji od 16.10.2017. godine, optuženi G. se izjasnio da nije kriv za kaznena djela koja mu se stavljaju na teret.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Presudom ovog suda broj: 08 0 K 003086 17 K od 23.03.2018. godine, optuženi G. oglašen je krivim za predmetna kaznena djela te mu je izrečena kazna zatvora u trajanju od 3 (tri) godine i 4 (četiri) mjeseca, uz sigurnosnu mjeru zabrane upravljanja motornim vozilom „B“ kategorije u trajanju od 1 (jedne) godine i obvezu da naknadi troškove kaznenog postupka u iznosu od 1.050,00 KM.</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Rješenjem Vrhovnog suda Federacije Bosne i Hercegovine broj: 08 0 K 003086 18 Kž od 02.09.2019. godine (u daljnjem tekstu: Rješenje VS FBiH), djelomičnim uvažavanjem žalbe branitelja optuženog G. a, citirana presuda je ukinuta i predmet vraćen ovom sudu na ponovno suđenje.</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U ponovljenom postupku, uz suglasnost tužitelja, optuženog i branitelja, izvršen je uvid i čitanje svih dokaza optužbe i obrane provedenih u prvo provedenom kaznenom postupku, te je po uputi iz Rješenja VS FBiH a na prijedlog tužitelja, izveden je novi dokaz i to neuropsihijatrijsko vještačenje, te je s tim u vezi, saslušan vještak neuropsihijatar dr. Salih Terzić i izvršen je uvid i čitanje njegovog Nalaza i mišljenja od 23.11.2021. godine.</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U uvodnoj riječi na glavnoj raspravi tužitelj je istakao da će izvođenjem svih predloženih dokaza dokazati da je optuženi počinio kaznena djela koja mu se stavljaju na teret. Branitelj optuženika je u uvodnoj riječi istakao da osporava navode optužnice i dokaze, osobito prometno vještvo i uzročno-posljedičnu vezu između prometne nezgode i smrti oštećenog V.M., smatrajući da optužba generalno nije ponudila dokaze koji dokazuju krivnju optuženika za predmetna kaznena djela, kao i da visina kazna (ranije izrečena) nije bila u skladu sa dokazanim činjenicama. Optuženi G. se pridružio uvodnom izlaganju svog branitelja.</w:t>
      </w:r>
    </w:p>
    <w:p>
      <w:pPr>
        <w:pStyle w:val="Normal"/>
        <w:rPr>
          <w:rFonts w:cs="Times New Roman"/>
          <w:szCs w:val="24"/>
          <w:lang w:val="hr-BA"/>
        </w:rPr>
      </w:pPr>
      <w:r>
        <w:rPr>
          <w:rFonts w:cs="Times New Roman"/>
          <w:szCs w:val="24"/>
          <w:lang w:val="hr-BA"/>
        </w:rPr>
      </w:r>
    </w:p>
    <w:p>
      <w:pPr>
        <w:pStyle w:val="Normal"/>
        <w:ind w:firstLine="720"/>
        <w:rPr/>
      </w:pPr>
      <w:r>
        <w:rPr>
          <w:rFonts w:cs="Times New Roman"/>
          <w:szCs w:val="24"/>
          <w:lang w:val="hr-BA"/>
        </w:rPr>
        <w:t xml:space="preserve">Tijekom dokaznog postupka na glavnoj raspravi u prvo provedenom kaznenom postupku, izvedeni su </w:t>
      </w:r>
      <w:r>
        <w:rPr>
          <w:rFonts w:cs="Times New Roman"/>
          <w:i/>
          <w:szCs w:val="24"/>
          <w:u w:val="single"/>
          <w:lang w:val="hr-BA"/>
        </w:rPr>
        <w:t>dokazi optužbe</w:t>
      </w:r>
      <w:r>
        <w:rPr>
          <w:rFonts w:cs="Times New Roman"/>
          <w:szCs w:val="24"/>
          <w:lang w:val="hr-BA"/>
        </w:rPr>
        <w:t xml:space="preserve"> koji se u ponovljenom postupku nisu ponovno izvodili, nego su se uz suglasnost optužbe i obrane samo čitali, i to: saslušanje oštećene A.K. majke pok. V.M., saslušanje vještakinje medicinske struke dr. Mirele Čarapina te uvidom i čitanjem Zapisnika o obdukciji dr. Mirele Čarapina S.p. broj: 18/17 od 20.03.2017. godine i Potvrde o smrti SKB Mostar evidencijski broj: 295/17 od 18.03.2017. godine te uvidom u </w:t>
      </w:r>
      <w:r>
        <w:rPr>
          <w:rFonts w:cs="Times New Roman"/>
          <w:iCs/>
          <w:szCs w:val="24"/>
          <w:lang w:val="hr-BA"/>
        </w:rPr>
        <w:t>Fotodokumentaciju PU Ljubuški, broj: 02-2-6/2-2-8-36/17 od 27.06.2017. godine</w:t>
      </w:r>
      <w:r>
        <w:rPr>
          <w:rFonts w:cs="Times New Roman"/>
          <w:szCs w:val="24"/>
          <w:lang w:val="hr-BA"/>
        </w:rPr>
        <w:t xml:space="preserve">, saslušanje vještaka prometne struke Branka Mustapića te uvidom i čitanjem njegovog Nalaza i mišljenja o tehničkoj ispravnosti vozila, Interni br. 439/17 od 04.09.2017. godine, saslušanje vještaka prometne struke Stjepana Đorde te uvidom i čitanjem njegovog Nalaza i mišljenja o prometno - tehničkom vještačenju od 31.08.2017. godine te je izvršen uvid i čitanje materijalnih dokaza optužbe i to: Zapisnik o očevidu PU Ljubuški broj: 02-2-6/2-8-20/17 od 26.03.2017. godine, Fotodokumentacija PU Ljubuški broj: 02-2-6/1-8-20/17 od 26.03.2017. godine, Crtež mjesta događaja PU Ljubuški broj: 02-2-6/1-8-20/17 od 01.03.2017. godine, </w:t>
      </w:r>
      <w:r>
        <w:rPr>
          <w:rFonts w:cs="Times New Roman"/>
          <w:iCs/>
          <w:szCs w:val="24"/>
          <w:lang w:val="hr-BA"/>
        </w:rPr>
        <w:t xml:space="preserve">Vještačenje alkohola za , JU  Zavod za zdravstvenu zaštitu zaposlenika MUP-a Kantona Sarajevo, broj: 03-07 185/1 od 08.03.2017. godine, Vještačenje alkohola za V. M., JU Zavod za zdravstvenu zaštitu zaposlenika MUP-a Kantona Sarajevo, broj 03-07 184/1 od 08.03.2017. godine, Prijava o povredi Dom zdravlja Ljubuški, Služba hitne medicinske pomoći, broj: 2014/17 od 01.03.2017. godine za V.M., Izvod iz kaznene evidencije za , PU Ljubuški, broj: 02-2-6/2-5-521/17 JK od 31.08.2017. godine, Nalog Županijskog Tužiteljstva br. T08 0 KT 0005347/17 od 20.03.2017. godine, Nalog o provođenju strojarskog vještačenja tehničke ispravnosti vozila Županijskog tužiteljstva br. T08 0 KT 0005347/17 od 23.08.2017. godine, Nalog o provođenju prometnog vještačenja Županijskog tužiteljstva Široki Brijeg br. T08 0 KT 0005347/17 od 23.08.2017. godine i Troškovnik Županijskog tužiteljstva Široki Brijeg, br. T08 0 KT 0005347/17 od 06.09.2017. godine. U ponovljenom postupku </w:t>
      </w:r>
      <w:r>
        <w:rPr>
          <w:rFonts w:cs="Times New Roman"/>
          <w:szCs w:val="24"/>
          <w:lang w:val="hr-BA"/>
        </w:rPr>
        <w:t>saslušan je vještak neuropsihijatar dr. Salih Terzić, te je izvršen uvid i čitanje njegovog Nalaza i mišljenja od 23.11.2021. godine.</w:t>
      </w:r>
    </w:p>
    <w:p>
      <w:pPr>
        <w:pStyle w:val="Normal"/>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szCs w:val="24"/>
          <w:lang w:val="hr-BA"/>
        </w:rPr>
        <w:t xml:space="preserve">U prvo provedenom kaznenom postupku, izvedeni su </w:t>
      </w:r>
      <w:r>
        <w:rPr>
          <w:rFonts w:cs="Times New Roman"/>
          <w:i/>
          <w:szCs w:val="24"/>
          <w:u w:val="single"/>
          <w:lang w:val="hr-BA"/>
        </w:rPr>
        <w:t>dokazi obrane</w:t>
      </w:r>
      <w:r>
        <w:rPr>
          <w:rFonts w:cs="Times New Roman"/>
          <w:szCs w:val="24"/>
          <w:lang w:val="hr-BA"/>
        </w:rPr>
        <w:t xml:space="preserve"> i to: saslušanje vještaka prometne struke Ante Ćorića te je izvršen uvid i čitanje njegovog Nalaza i mišljenja broj: 5092/18 od 12.02.2018. godine, uz naknadno dostavljene 3 fotografije, a u svojstvu svjedoka svoje obrane saslušan je optuženi . Uz suglasnost optužbe i obrane, ni ovi dokazi se nisu ponovno izvodili, nego su se samo čitali.</w:t>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tab/>
        <w:t xml:space="preserve">U završnoj riječi tužitelj ističe da je tijekom glavne rasprave temeljem svih izvedenih dokaza nesporno dokazano da je optuženi G. počinio kaznena djela koja mu se stavljaju na teret te predlaže sudu da istog oglasi krivim izričući mu adekvatnu kaznenu sankciju kojom će se postići svrha kažnjavanja specijalne i generalne prevencije, da optuženiku izrekne sigurnosnu mjeru zabrane upravljanja prijevoznim sredstvom „B“ kategorije u vremenskom trajanju po određenju suda te da optuženika obveže na plaćanje troškova kaznenog postupka. </w:t>
      </w:r>
    </w:p>
    <w:p>
      <w:pPr>
        <w:pStyle w:val="Normal"/>
        <w:rPr>
          <w:rFonts w:cs="Times New Roman"/>
          <w:szCs w:val="24"/>
          <w:lang w:val="hr-BA"/>
        </w:rPr>
      </w:pPr>
      <w:r>
        <w:rPr>
          <w:rFonts w:cs="Times New Roman"/>
          <w:szCs w:val="24"/>
          <w:lang w:val="hr-BA"/>
        </w:rPr>
      </w:r>
    </w:p>
    <w:p>
      <w:pPr>
        <w:pStyle w:val="Normal"/>
        <w:ind w:firstLine="720"/>
        <w:rPr/>
      </w:pPr>
      <w:r>
        <w:rPr>
          <w:rFonts w:cs="Times New Roman"/>
          <w:szCs w:val="24"/>
          <w:lang w:val="hr-BA"/>
        </w:rPr>
        <w:t>U završnoj riječi branitelj optuženika ističe da se temeljem izvedenih dokaza optužbe ne može sa sigurnošću utvrditi da je optuženi počinio kazneno djelo koje mu se stavlja na teret, što se posebno odnosi na relevantna utvrđenja u pogledu brzine kretanja vozila optuženika, ograničenja brzine propisane za lice mjesta prometne nezgode i postojanje namjere, ukazuje na okolnosti zbog kojih optuženik nije išao na sahranu pok. V.M. predlažući da sud optuženika oslobodi od optužbe jer Tužiteljstvo nije dokazalo navode iz dispozitiva optužnog akta ili da optuženiku izrekne minimalnu kaznu, ističući da se u međuvremenu optuženi oženio i postao otac jednog djeteta.</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Optuženi je u završnoj riječi istakao da mu je žao zbog svega što se dogodilo, da se jako kaje, da ništa nije namjerno napravio, „desilo se što se desilo“ te da će ga to pratiti cijeli život, da je poslije prve presude stupio u kontakt s bratom od pok. V.M., izrazio mu kajanje, sućut te ako išta treba „da je tu“, da se s njihovom majkom nije susreo jer „nema hrabrosti izići pred tu ženu“ i jer „se nije osjetio poželjnim da dođe pred ženu“.</w:t>
      </w:r>
    </w:p>
    <w:p>
      <w:pPr>
        <w:pStyle w:val="Normal"/>
        <w:rPr>
          <w:rFonts w:cs="Times New Roman"/>
          <w:szCs w:val="24"/>
          <w:lang w:val="hr-BA"/>
        </w:rPr>
      </w:pPr>
      <w:r>
        <w:rPr>
          <w:rFonts w:cs="Times New Roman"/>
          <w:szCs w:val="24"/>
          <w:lang w:val="hr-BA"/>
        </w:rPr>
      </w:r>
    </w:p>
    <w:p>
      <w:pPr>
        <w:pStyle w:val="Normal"/>
        <w:rPr>
          <w:rFonts w:cs="Times New Roman"/>
          <w:iCs/>
          <w:szCs w:val="24"/>
          <w:lang w:val="hr-BA"/>
        </w:rPr>
      </w:pPr>
      <w:r>
        <w:rPr>
          <w:rFonts w:cs="Times New Roman"/>
          <w:szCs w:val="24"/>
          <w:lang w:val="hr-BA"/>
        </w:rPr>
        <w:tab/>
        <w:t>Detaljnije stavove optužbe i obrane iznesene u uvodnim i završnim riječima kao i tijekom čitavog dokaznog postupka, sud će iznijeti prilikom ocjene svakog dokaza ponaosob i jednih u vezi s drugima. Obzirom da je intencija članka 6 stavak 1 Europske konvencije o ljudskim pravima i temeljnim slobodama</w:t>
      </w:r>
      <w:r>
        <w:rPr>
          <w:rStyle w:val="Sidrofusnote"/>
          <w:rFonts w:cs="Times New Roman"/>
          <w:szCs w:val="24"/>
          <w:lang w:val="hr-BA"/>
        </w:rPr>
        <w:footnoteReference w:id="5"/>
      </w:r>
      <w:r>
        <w:rPr>
          <w:rFonts w:cs="Times New Roman"/>
          <w:szCs w:val="24"/>
          <w:lang w:val="hr-BA"/>
        </w:rPr>
        <w:t xml:space="preserve"> (između ostalog) i da se ispitaju samo oni izloženi argumenti koje sud smatra relevantnim, a ne svi argumenti koji su izloženi, to je ovaj sud uzeo u obzir sve argumente iz svih izvedenih dokaza optužbe i dokaza obrane te ih cijenio, a razloge iznosio u odnosu na one argumente i činjenice koji su relevantni i od značaja za odluku u konkretnoj kaznenoj stvari</w:t>
      </w:r>
      <w:r>
        <w:rPr>
          <w:rStyle w:val="Sidrofusnote"/>
          <w:rFonts w:cs="Times New Roman"/>
          <w:szCs w:val="24"/>
          <w:lang w:val="hr-BA"/>
        </w:rPr>
        <w:footnoteReference w:id="6"/>
      </w:r>
      <w:r>
        <w:rPr>
          <w:rFonts w:cs="Times New Roman"/>
          <w:iCs/>
          <w:szCs w:val="24"/>
          <w:lang w:val="hr-BA"/>
        </w:rPr>
        <w:t>.</w:t>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tab/>
        <w:t xml:space="preserve">Analizirajući sve izvedene dokaze, kako pojedinačno tako i u njihovoj međusobnoj povezanosti i dovodeći ih u vezu sa obranom optuženog, sud je utvrdio da je Tužiteljstvo van svake razumne sumnje dokazalo kako je optuženik počinio radnje opisane u izreci ove presude, u kojima su ostvareni svi bitni elementi bića kaznenog djela Teško kazneno djelo protiv sigurnosti javnog prometa iz članka 336 stavak 2 </w:t>
      </w:r>
      <w:r>
        <w:rPr>
          <w:rFonts w:cs="Times New Roman"/>
          <w:szCs w:val="24"/>
          <w:lang w:val="hr-BA" w:eastAsia="hr-HR"/>
        </w:rPr>
        <w:t xml:space="preserve">KZ FBiH </w:t>
      </w:r>
      <w:r>
        <w:rPr>
          <w:rFonts w:cs="Times New Roman"/>
          <w:szCs w:val="24"/>
          <w:lang w:val="hr-BA"/>
        </w:rPr>
        <w:t>u vezi s kaznenim djelom Ugrožavanje javnog prometa iz članka 332 stavak 1 KZ FBiH, i to iz sljedećih razloga:</w:t>
      </w:r>
    </w:p>
    <w:p>
      <w:pPr>
        <w:pStyle w:val="Normal"/>
        <w:rPr>
          <w:rFonts w:cs="Times New Roman"/>
          <w:szCs w:val="24"/>
          <w:lang w:val="hr-BA"/>
        </w:rPr>
      </w:pPr>
      <w:r>
        <w:rPr>
          <w:rFonts w:cs="Times New Roman"/>
          <w:szCs w:val="24"/>
          <w:lang w:val="hr-BA"/>
        </w:rPr>
      </w:r>
    </w:p>
    <w:p>
      <w:pPr>
        <w:pStyle w:val="Normal"/>
        <w:ind w:firstLine="720"/>
        <w:rPr>
          <w:rFonts w:cs="Times New Roman"/>
          <w:iCs/>
          <w:szCs w:val="24"/>
          <w:lang w:val="hr-BA"/>
        </w:rPr>
      </w:pPr>
      <w:r>
        <w:rPr>
          <w:rFonts w:cs="Times New Roman"/>
          <w:szCs w:val="24"/>
          <w:lang w:val="hr-BA"/>
        </w:rPr>
        <w:t xml:space="preserve">Između optužbe i obrane nije sporno da je </w:t>
      </w:r>
      <w:r>
        <w:rPr>
          <w:rFonts w:cs="Times New Roman"/>
          <w:i/>
          <w:szCs w:val="24"/>
          <w:lang w:val="hr-BA"/>
        </w:rPr>
        <w:t xml:space="preserve">tempore criminis </w:t>
      </w:r>
      <w:r>
        <w:rPr>
          <w:rFonts w:cs="Times New Roman"/>
          <w:szCs w:val="24"/>
          <w:lang w:val="hr-BA"/>
        </w:rPr>
        <w:t xml:space="preserve">optuženi G. bio pod utjecajem alkohola od 0,96 promila u krvi, što proizlazi i iz materijalnog dokaza - </w:t>
      </w:r>
      <w:r>
        <w:rPr>
          <w:rFonts w:cs="Times New Roman"/>
          <w:iCs/>
          <w:szCs w:val="24"/>
          <w:lang w:val="hr-BA"/>
        </w:rPr>
        <w:t xml:space="preserve">Vještačenja alkohola za , JU Zavod za zdravstvenu zaštitu zaposlenika MUP-a Kantona Sarajevo, broj: 03-07 185/1 od 08.03.2017. godine, iz čega sud nespornim zaključuje da se optuženi G. nije pridržavao prometnog propisa iz članka 177 stavak 1 i 2 </w:t>
      </w:r>
      <w:r>
        <w:rPr>
          <w:rFonts w:cs="Times New Roman"/>
          <w:szCs w:val="24"/>
          <w:lang w:val="hr-BA"/>
        </w:rPr>
        <w:t xml:space="preserve">Zakona o sigurnosti prometa na cestama u Županiji Zapadnohercegovačkoj (u daljnjem tekstu: Zakon) tj. pod djelovanjem alkohola upravljao je vozilom u cestovnom prometu, koje ponašanje je citiranim zakonskim propisom izrijekom zabranjeno. </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Međutim, obrana osporava da je alkoholiziranost optuženika u uzročno-posljedičnoj vezi sa nastalom prometnom nezgodom.</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S tim u vezi, relevantan je dokaz iskaz vještaka neuropsihijatra dr. Saliha Terzića, kao i njegov Nalaz i mišljenje od 23.11.2021. godine, iz kojih dokaza nesporno proizlazi da je upravo alkoholiziranost optuženom G.u dala lažni osjećaj sigurnost, povisila njegovo osnovno raspoloženje kao i samopouzdanje, dovela do usporene reakcije na opasnost (krivinu koju zbog brzine nije mogao uspješno savladati), do suženog perifernog vidnog polja („kao u tunelu“) kao i do „igranja“ očnih jabučica, što kada se dovede u vezu sa činjenicom da je riječ o mladoj osobi koja (u trenutku prometne nezgode) tek stječe relevantno vozačko iskustvo, jasno sud dovodi do zaključka da je upravo alkoholiziranost optuženog G. a u uzročno – posljedičnoj vezi sa nastalom prometnom nezgodom.</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Na ovom mjestu potrebno je istaći da je vještak Terzić na glavnoj raspravi objasnio kako je putem faktora eliminacije alkohola iz organizma od 0,15 promila po jednom satu,  došao do zaključka da je optuženi G. u vrijeme prometne nezgode imao stupanj alkohola u krvi od 1,41 promila, dozvoljavajući da je prilikom Vještačenja alkohola za , JU  Zavod za zdravstvenu zaštitu zaposlenika MUP-a Kantona Sarajevo, broj: 03-07 185/1 od 08.03.2017. godine, taj faktor eliminacije već uračunat, u kojem slučaju svejedno njegov nalaz i mišljenje ostaju neizmijenjeni, obzirom da je u oba slučaja riječ o lakom stupnju opitosti (od 0,3 do 1,5 promila) za koji vrijede identične karakteristike i simptomi.</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Iz navedenih razloga i sud zaključuje da nije od utjecaja na drugačiju odluku suda, činjenica da li je optuženik bio pod utjecajem alkohola u krvi u iznosu od 0,96 promila ili 1,41 promila, osobito zbog činjenice da ni optužba ni obrana nisu imali primjedbi na utvrđeni stupanj alkoholiziranosti kod optuženika u iznosu od 0,96 promila, koji stupanj prihvaća i ovaj sud.</w:t>
      </w:r>
    </w:p>
    <w:p>
      <w:pPr>
        <w:pStyle w:val="Normal"/>
        <w:ind w:firstLine="720"/>
        <w:rPr>
          <w:rFonts w:cs="Times New Roman"/>
          <w:iCs/>
          <w:szCs w:val="24"/>
          <w:lang w:val="hr-BA"/>
        </w:rPr>
      </w:pPr>
      <w:r>
        <w:rPr>
          <w:rFonts w:cs="Times New Roman"/>
          <w:iCs/>
          <w:szCs w:val="24"/>
          <w:lang w:val="hr-BA"/>
        </w:rPr>
      </w:r>
    </w:p>
    <w:p>
      <w:pPr>
        <w:pStyle w:val="Normal"/>
        <w:ind w:firstLine="720"/>
        <w:rPr/>
      </w:pPr>
      <w:r>
        <w:rPr>
          <w:rFonts w:cs="Times New Roman"/>
          <w:iCs/>
          <w:szCs w:val="24"/>
          <w:lang w:val="hr-BA"/>
        </w:rPr>
        <w:t>Nadalje, obzirom da su iskaz vještaka Terzića kao i njegov Nalaz i mišljenje, u potpunoj suglasnosti sa pravnom teorijom, prema kojoj se utvrđena alkoholiziranost kvalificira kao „pripito stanje“ (</w:t>
      </w:r>
      <w:r>
        <w:rPr>
          <w:rFonts w:eastAsia="Times New Roman" w:cs="Times New Roman"/>
          <w:szCs w:val="24"/>
          <w:lang w:val="hr-BA"/>
        </w:rPr>
        <w:t xml:space="preserve">koncentracija alkohola u krvi od 0,5 do 1,5 promila) kada je vožnja za promet najopasnija, jer alkohol djeluje na centre u mozgu i osobe precjenjuju svoje sposobnosti, gubi se samokritičnost, </w:t>
      </w:r>
      <w:r>
        <w:rPr>
          <w:rFonts w:eastAsia="Times New Roman" w:cs="Times New Roman"/>
          <w:b/>
          <w:i/>
          <w:szCs w:val="24"/>
          <w:lang w:val="hr-BA"/>
        </w:rPr>
        <w:t>vozi se brzo i bezobzirno i najčešće vozači izlijeću s ceste na zavoju zbog nesposobnosti optičkog fiksiranja</w:t>
      </w:r>
      <w:r>
        <w:rPr>
          <w:rFonts w:eastAsia="Times New Roman" w:cs="Times New Roman"/>
          <w:b/>
          <w:szCs w:val="24"/>
          <w:lang w:val="hr-BA"/>
        </w:rPr>
        <w:t>,</w:t>
      </w:r>
      <w:r>
        <w:rPr>
          <w:rFonts w:eastAsia="Times New Roman" w:cs="Times New Roman"/>
          <w:szCs w:val="24"/>
          <w:lang w:val="hr-BA"/>
        </w:rPr>
        <w:t xml:space="preserve"> dolazi do nekoordiniranih pokreta, straha, nepotrebnog kočenja, okretanja volana itd. te raste zaustavni put vozila</w:t>
      </w:r>
      <w:r>
        <w:rPr>
          <w:rStyle w:val="Sidrofusnote"/>
          <w:rFonts w:eastAsia="Times New Roman" w:cs="Times New Roman"/>
          <w:szCs w:val="24"/>
          <w:lang w:val="hr-BA"/>
        </w:rPr>
        <w:footnoteReference w:id="7"/>
      </w:r>
      <w:r>
        <w:rPr>
          <w:rFonts w:eastAsia="Times New Roman" w:cs="Times New Roman"/>
          <w:szCs w:val="24"/>
          <w:lang w:val="hr-BA"/>
        </w:rPr>
        <w:t xml:space="preserve">, sud istim dokazima u cijelosti poklanja vjeru kao vjerodostojnima. </w:t>
      </w:r>
    </w:p>
    <w:p>
      <w:pPr>
        <w:pStyle w:val="Normal"/>
        <w:ind w:firstLine="720"/>
        <w:rPr>
          <w:rFonts w:eastAsia="Times New Roman" w:cs="Times New Roman"/>
          <w:szCs w:val="24"/>
          <w:lang w:val="hr-BA"/>
        </w:rPr>
      </w:pPr>
      <w:r>
        <w:rPr>
          <w:rFonts w:eastAsia="Times New Roman" w:cs="Times New Roman"/>
          <w:szCs w:val="24"/>
          <w:lang w:val="hr-BA"/>
        </w:rPr>
      </w:r>
    </w:p>
    <w:p>
      <w:pPr>
        <w:pStyle w:val="Normal"/>
        <w:ind w:firstLine="720"/>
        <w:rPr>
          <w:rFonts w:eastAsia="Times New Roman" w:cs="Times New Roman"/>
          <w:szCs w:val="24"/>
          <w:lang w:val="hr-BA"/>
        </w:rPr>
      </w:pPr>
      <w:r>
        <w:rPr>
          <w:rFonts w:eastAsia="Times New Roman" w:cs="Times New Roman"/>
          <w:szCs w:val="24"/>
          <w:lang w:val="hr-BA"/>
        </w:rPr>
        <w:t>S tim u vezi, kada se prednje obrazloženje dovede u vezu sa činjenicom da se optuženi G. u zavoju (gdje je došlo do destabilizacije vozila) kretao brzinom od oko 96 km/h, koja je više nego dvostruko veća od brzine dozvoljene na toj dionici puta (izričitim vertikalnim prometnim znakom ograničena brzina od 40 km/h), zbog koje brzine dolazi do destabilizacije vozila, jer je propusna moć zavoja i sigurna brzina 79 km/h i svaka niža, onda sud nedvojbeno zaključuje da je alkoholiziranost optuženika u izravnoj uzročno-posljedičnoj vezi sa nastalom prometnom nezgodom, jer je optuženik zbog alkoholiziranosti vozio brzinom od oko 96 km/h pa se nameće logičan zaključak da su alkoholiziranost i obijesna vožnja i dovele do destabilizacije vozila i konačno do prometne nezgode opisane u dispozitivu optužnice, čiji krajnji ishod je bila smrt oštećenog M..</w:t>
      </w:r>
    </w:p>
    <w:p>
      <w:pPr>
        <w:pStyle w:val="Normal"/>
        <w:ind w:firstLine="720"/>
        <w:rPr>
          <w:rFonts w:eastAsia="Times New Roman" w:cs="Times New Roman"/>
          <w:szCs w:val="24"/>
          <w:lang w:val="hr-BA"/>
        </w:rPr>
      </w:pPr>
      <w:r>
        <w:rPr>
          <w:rFonts w:eastAsia="Times New Roman" w:cs="Times New Roman"/>
          <w:szCs w:val="24"/>
          <w:lang w:val="hr-BA"/>
        </w:rPr>
      </w:r>
    </w:p>
    <w:p>
      <w:pPr>
        <w:pStyle w:val="Normal"/>
        <w:ind w:firstLine="720"/>
        <w:rPr>
          <w:rFonts w:cs="Times New Roman"/>
          <w:iCs/>
          <w:szCs w:val="24"/>
          <w:lang w:val="hr-BA"/>
        </w:rPr>
      </w:pPr>
      <w:r>
        <w:rPr>
          <w:rFonts w:cs="Times New Roman"/>
          <w:iCs/>
          <w:szCs w:val="24"/>
          <w:lang w:val="hr-BA"/>
        </w:rPr>
        <w:t xml:space="preserve">Nesporno je i da je sada pok. V.M. </w:t>
      </w:r>
      <w:r>
        <w:rPr>
          <w:rFonts w:cs="Times New Roman"/>
          <w:i/>
          <w:iCs/>
          <w:szCs w:val="24"/>
          <w:lang w:val="hr-BA"/>
        </w:rPr>
        <w:t>tempore criminis</w:t>
      </w:r>
      <w:r>
        <w:rPr>
          <w:rFonts w:cs="Times New Roman"/>
          <w:iCs/>
          <w:szCs w:val="24"/>
          <w:lang w:val="hr-BA"/>
        </w:rPr>
        <w:t xml:space="preserve"> </w:t>
      </w:r>
      <w:r>
        <w:rPr>
          <w:rFonts w:cs="Times New Roman"/>
          <w:szCs w:val="24"/>
          <w:lang w:val="hr-BA"/>
        </w:rPr>
        <w:t xml:space="preserve">bio pod utjecajem alkohola od 1,48 promila u krvi što proizlazi i iz materijalnog dokaza - </w:t>
      </w:r>
      <w:r>
        <w:rPr>
          <w:rFonts w:cs="Times New Roman"/>
          <w:iCs/>
          <w:szCs w:val="24"/>
          <w:lang w:val="hr-BA"/>
        </w:rPr>
        <w:t>Vještačenja alkohola za , JU Zavod za zdravstvenu zaštitu zaposlenika MUP-a Kantona Sarajevo, broj: 03-07 184/1 od 08.03.2017. godine. Međutim, nesporno je i to da sada pok. V.M. ničim nije doprinio nastanku prometne nezgode i nastalim posljedicama.</w:t>
      </w:r>
    </w:p>
    <w:p>
      <w:pPr>
        <w:pStyle w:val="Normal"/>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Nadalje, između optužbe i obrane nije sporno da je dana 01.03.2017. godine, oko 00,20 sati u mjestu Proboj, općina Ljubuški, na dijelu magistralne ceste M-6, Ljubuški-Grude, optuženi G. upravljao osobnim vozilom marke „BMW“ tip „3“, reg. oznaka MA 161 CD, vlasništvo A.Š., krećući se iz smjera Ljubuškog u smjeru Gruda i ulaskom u krivinu lijevog smjera, gledano iz smjera kretanja njegovog vozila izgubio kontrolu nad upravljačem i vozilom prešao na lijevu kolničku traku, pri čemu je desnom bočnom stranom vozila ostvario kontakt sa rubnikom, a potom je desnom bočnom stranom vozila udario u metalni rasvjetni stup koji se nalazio na nogostupu.</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Prednje nesporno činjenično stanje proizlazi iz materijalnih dokaza optužbe i to: Zapisnika o očevidu PU Ljubuški broj: 02-2-6/2-8-20/17 od 26.03.2017. godine (u daljnjem tekstu: Zapisnik o očevidu), Fotodokumentacije PU Ljubuški broj: 02-2-6/1-8-20/17 od 26.03.2017. godine, Crteža mjesta događaja PU Ljubuški broj: 02-2-6/1-8-20/17 od 01.03.2017. godine (u daljnjem tekstu: Crtež mjesta događaja) a u tom dijelu suglasni su i vještak optužbe Stjepan Đorda i vještak obrane Ante Ćorić, koje činjenice dijelom potvrđuje i sam optuženi G. u svom iskazu (zbog čega mu u tom dijelu sud poklanja vjeru) navodeći da se sjeća dolaska pred zavoj i zanošenja u lijevu stranu.</w:t>
      </w:r>
    </w:p>
    <w:p>
      <w:pPr>
        <w:pStyle w:val="Normal"/>
        <w:ind w:firstLine="720"/>
        <w:rPr>
          <w:rFonts w:cs="Times New Roman"/>
          <w:szCs w:val="24"/>
          <w:lang w:val="hr-BA"/>
        </w:rPr>
      </w:pPr>
      <w:r>
        <w:rPr>
          <w:rFonts w:cs="Times New Roman"/>
          <w:szCs w:val="24"/>
          <w:lang w:val="hr-BA"/>
        </w:rPr>
      </w:r>
    </w:p>
    <w:p>
      <w:pPr>
        <w:pStyle w:val="Normal"/>
        <w:ind w:firstLine="720"/>
        <w:rPr>
          <w:rFonts w:cs="Times New Roman"/>
          <w:iCs/>
          <w:szCs w:val="24"/>
          <w:lang w:val="hr-BA"/>
        </w:rPr>
      </w:pPr>
      <w:r>
        <w:rPr>
          <w:rFonts w:cs="Times New Roman"/>
          <w:iCs/>
          <w:szCs w:val="24"/>
          <w:lang w:val="hr-BA"/>
        </w:rPr>
        <w:t>Između optužbe i obrane sporna je brzina kojom je upravljao optuženi G. u momentu ulaska vozila u zavoj tj. na početku destabilizacije vozila, propusna moć zavoja te ograničenje brzine koje je važilo za dionicu puta na kojoj je došlo do prometne nezgode.</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Optuženi G. u svom iskazu navodi da to nije mogla biti neka velika brzina, jer su na toj dionici ceste bile krivine, ali se ne može sa sigurnošću sjetiti zbog potresa mozga kojeg je tada zadobio. Iskazu optuženika u ovom dijelu sud ne poklanja vjeru jer je suprotan brzini utvrđenoj prometno – tehničkim vještvom vještaka optužbe Stjepana Đorde, koje je sačinjeno sukladno vještini i pravilima struke te objektivnim pokazateljima zbog čega mu sud u cijelosti poklanja vjeru a obrazloženje slijedi u nastavku.</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Vještak optužbe Stjepan Đorda u svom iskazu te Nalazu i mišljenju od 31.08.2017. godine, utvrđuje da se optuženi G. kretao brzinom od oko 96 km/h u trenutku kada počinje zanošenje te zaključuje da je brzina u uzročno-posljedičnoj vezi sa nastalom prometnom nezgodom imajući u vidu da je propusna moć zavoja i sigurna brzina 79 km/h i svaka niža.</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 xml:space="preserve">Vještak obrane Ante Ćorić u svom iskazu te Nalazu i mišljenju broj: 5092/18 od 12.02.2018. godine utvrđuje da se optuženi G. kretao brzinom od oko 77 km/h a da je propusna moć zavoja i sigurna brzina 91 km/h i svaka niža, shodno čemu brzina nije razlog destabilizacije vozila, s tim da vještak Ćorić nije znao odgovoriti na pitanje što je prema njegovom stručnom mišljenju razlog destabilizacije vozila u konkretnom slučaju, nego je naveo niz teoretskih mogućnosti kao npr. trzaj koturom volana u lijevo, loša procjena prometnice od strane optuženika, prebacivanje iz veće u manju brzinu mjenjačem vozila i sl. </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Suštinska razlika u izračunu brzine vještaka optužbe i obrane jeste u tumačenju tragova zanošenja i tragova kočenja. Naime, vještak Đorda obrazlaže da je tragove zanošenja tretirao kao tragove kočenja zbog njihovog intenzivnog neprekidnog crnog traga koje su gume vozila ostavile na asfaltu, što znači da je bilo izuzetno snažno struganje odnosno prijanjanje, zbog čega je zaključio da ih treba tretirati kao tragove kočenja, pa shodno tome prilikom izračuna brzine u jednadžbu uvrstiti vrijednosti koje vrijede za tragove kočenja. Suprotno tome, vještak Ćorić prilikom izračuna brzine uzima manje vrijednosti koje stručna literatura koristi kada je u pitanju usporavanje vozila zanošenjem, tj. proklizavanjem bez kočenja.</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Za pravilnu odluku kod ovog spornog pitanja, valja poći od činjenice da tragovi zanošenja mogu nastati iz tragova vožnje, tragova kočenja i tragova klizanja</w:t>
      </w:r>
      <w:r>
        <w:rPr>
          <w:rStyle w:val="Sidrofusnote"/>
          <w:rFonts w:cs="Times New Roman"/>
          <w:iCs/>
          <w:szCs w:val="24"/>
          <w:lang w:val="hr-BA"/>
        </w:rPr>
        <w:footnoteReference w:id="8"/>
      </w:r>
      <w:r>
        <w:rPr>
          <w:rFonts w:cs="Times New Roman"/>
          <w:iCs/>
          <w:szCs w:val="24"/>
          <w:lang w:val="hr-BA"/>
        </w:rPr>
        <w:t xml:space="preserve">, što sud dovodi do zaključka da se tragovi zanošenja ne mogu uvijek promatrati odvojeno od tragova kočenja, kako to pogrešno tumače obrana i vještak Ćorić. U okviru ove definicije nastanka tragova zanošenja, upravo treba i tumačiti činjenicu da je u Zapisniku o očevidu napisano „tragovi zanošenja“ tj. stvarno je riječ o tragovima zanošenja nastalima iz tragova kočenja. Naime, uvažavajući intenzivni crni neprekidni trag guma na suhom asfaltu koje je ostavilo vozilo kojim je upravljao optuženik, pravilnim se ukazuje zaključak vještaka Đorde da je riječ o tragovima zanošenja koji su nastali iz tragova kočenja, u kojem slučaju je bilo jedino pravilno u jednadžbu za izračun brzine uvrstiti vrijednosti koje važe za tragove kočenja. </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 xml:space="preserve">Uvažavajući prednje obrazloženje, apsolutno je pogrešan zaključak vještaka Ćorića koji ne uzima u obzir navedene činjenice, iz kojih razloga sud njegovom iskazu te Nalazu i mišljenju ne poklanja vjeru, cijeneći da je isti površan, nedosljedan i nelogičan i sačinjen sa ciljem olakšanja procesne pozicije optuženika tj. izbjegavanja njegove kaznene odgovornosti. Paušalan i nestručan pristup ovog vještaka bjelodano se pokazao kada je vještak Ćorić kategorički na glavnoj raspravi od 20.02.2018. godine ustvrdio da je iz suprotnog pravca kretanja u odnosu na pravac kretanja vozila optuženika, vrijedilo ograničenje od 60 km/h, što se pokazalo neistinom o čemu će više riječi biti u nastavku. Dakle, iz naprijed obrazloženog sud zaključuje da je Tužiteljstvo van svake razumne sumnje dokazalo da je optuženik </w:t>
      </w:r>
      <w:r>
        <w:rPr>
          <w:rFonts w:cs="Times New Roman"/>
          <w:i/>
          <w:iCs/>
          <w:szCs w:val="24"/>
          <w:lang w:val="hr-BA"/>
        </w:rPr>
        <w:t>tempore criminis</w:t>
      </w:r>
      <w:r>
        <w:rPr>
          <w:rFonts w:cs="Times New Roman"/>
          <w:iCs/>
          <w:szCs w:val="24"/>
          <w:lang w:val="hr-BA"/>
        </w:rPr>
        <w:t xml:space="preserve"> vozio brzinom od oko 96 km/h što je, zajedno sa alkoholiziranošću optuženika, i uzrokovalo destabilizaciju njegovog vozila u predmetnom zavoju i ovu prometnu nezgodu.</w:t>
      </w:r>
    </w:p>
    <w:p>
      <w:pPr>
        <w:pStyle w:val="Normal"/>
        <w:tabs>
          <w:tab w:val="clear" w:pos="720"/>
          <w:tab w:val="left" w:pos="3333" w:leader="none"/>
        </w:tabs>
        <w:ind w:firstLine="720"/>
        <w:rPr>
          <w:rFonts w:cs="Times New Roman"/>
          <w:iCs/>
          <w:szCs w:val="24"/>
          <w:lang w:val="hr-BA"/>
        </w:rPr>
      </w:pPr>
      <w:r>
        <w:rPr>
          <w:rFonts w:cs="Times New Roman"/>
          <w:iCs/>
          <w:szCs w:val="24"/>
          <w:lang w:val="hr-BA"/>
        </w:rPr>
        <w:tab/>
      </w:r>
    </w:p>
    <w:p>
      <w:pPr>
        <w:pStyle w:val="Normal"/>
        <w:tabs>
          <w:tab w:val="clear" w:pos="720"/>
          <w:tab w:val="left" w:pos="3333" w:leader="none"/>
        </w:tabs>
        <w:ind w:firstLine="720"/>
        <w:rPr>
          <w:rFonts w:cs="Times New Roman"/>
          <w:iCs/>
          <w:szCs w:val="24"/>
          <w:lang w:val="hr-BA"/>
        </w:rPr>
      </w:pPr>
      <w:r>
        <w:rPr>
          <w:rFonts w:cs="Times New Roman"/>
          <w:iCs/>
          <w:szCs w:val="24"/>
          <w:lang w:val="hr-BA"/>
        </w:rPr>
        <w:t>Kada je u pitanju propusna moć zavoja a nakon prednjeg utvrđenja brzine kojom se kretao optuženik, gotovo da se pokazuje irelevantnim da li je to 79 km/h ili 91 km/h, obzirom da je optuženik vozio brzinom od oko 96 km/h, dakle u svakom slučaju brzinom nesavladivom za taj zavoj, jer brzina jednaka propusnoj moći zavoja ili veća, nužno dovodi do destabilizacije vozila, a to se u konkretnom slučaju upravo i dogodilo. Osim navedenog, nestručan obračun brzine kojom se kretalo vozilo kojim je upravljao optuženik, sud uvjerava da je vještak Ćorić i prilikom izračuna propusne moći zavoja koristio vrijednosti koje pristrano idu u korist optuženiku, bez njihovog uporišta u stručnim objašnjenima, koja su posve izostala kod ovog vještaka. To dokazuje i literatura</w:t>
      </w:r>
      <w:r>
        <w:rPr>
          <w:rStyle w:val="Sidrofusnote"/>
          <w:rFonts w:cs="Times New Roman"/>
          <w:iCs/>
          <w:szCs w:val="24"/>
          <w:lang w:val="hr-BA"/>
        </w:rPr>
        <w:footnoteReference w:id="9"/>
      </w:r>
      <w:r>
        <w:rPr>
          <w:rFonts w:cs="Times New Roman"/>
          <w:iCs/>
          <w:szCs w:val="24"/>
          <w:lang w:val="hr-BA"/>
        </w:rPr>
        <w:t xml:space="preserve"> koju je koristio vještak Ćorić uzevši najveću dozvoljenu vrijednost koeficijenta bočnog prijanjanja od 0,8, pri tome ne obrazlažući zašto nije uzeo neku prosječnu vrijednost, kako je to učinio vještak Đorda, niti obrazlažući potrebu da baš u konkretnom slučaju uzme najvišu propisanu vrijednost koju stručna literatura dozvoljava. Izostanak detaljnog i stručnog obrazloženja za ova sud bio je imperativan razlog da ne pokloni vjeru izračunu propusne moći zavoja od strane vještaka Ćorića.</w:t>
      </w:r>
    </w:p>
    <w:p>
      <w:pPr>
        <w:pStyle w:val="Normal"/>
        <w:tabs>
          <w:tab w:val="clear" w:pos="720"/>
          <w:tab w:val="left" w:pos="3333" w:leader="none"/>
        </w:tabs>
        <w:ind w:firstLine="720"/>
        <w:rPr>
          <w:rFonts w:cs="Times New Roman"/>
          <w:iCs/>
          <w:szCs w:val="24"/>
          <w:lang w:val="hr-BA"/>
        </w:rPr>
      </w:pPr>
      <w:r>
        <w:rPr>
          <w:rFonts w:cs="Times New Roman"/>
          <w:iCs/>
          <w:szCs w:val="24"/>
          <w:lang w:val="hr-BA"/>
        </w:rPr>
      </w:r>
    </w:p>
    <w:p>
      <w:pPr>
        <w:pStyle w:val="Normal"/>
        <w:tabs>
          <w:tab w:val="clear" w:pos="720"/>
          <w:tab w:val="left" w:pos="3333" w:leader="none"/>
        </w:tabs>
        <w:ind w:firstLine="720"/>
        <w:rPr>
          <w:rFonts w:cs="Times New Roman"/>
          <w:iCs/>
          <w:szCs w:val="24"/>
          <w:lang w:val="hr-BA"/>
        </w:rPr>
      </w:pPr>
      <w:r>
        <w:rPr>
          <w:rFonts w:cs="Times New Roman"/>
          <w:iCs/>
          <w:szCs w:val="24"/>
          <w:lang w:val="hr-BA"/>
        </w:rPr>
        <w:t>Nadalje, kada je u pitanju ograničenje brzine koje je vrijedilo za dionicu puta na kojoj se dogodila prometna nezgoda, sud ističe da je Tužiteljstvo dokazalo da je to 40 km/h kao ograničena brzina propisana izričitim vertikalnim prometnim znakom, neposredno prije zavoja u kojem je došlo do destabilizacije vozila, jer takvo utvrđenje proizlazi i iz Zapisnika o očevidu. Neosnovana je tvrdnja obrane da je ukrštanje s drugom cestom upravo u tom zavoju poništilo znakom ograničenu brzinu shodno članku 27 Pravilnika o prometnim znakovima i signalizaciji na cestama, načinu obilježavanja radova i prepreka na cesti i znakovima koje učesnicima u prometu daje ovlaštena osoba</w:t>
      </w:r>
      <w:r>
        <w:rPr>
          <w:rStyle w:val="Sidrofusnote"/>
          <w:rFonts w:cs="Times New Roman"/>
          <w:iCs/>
          <w:szCs w:val="24"/>
          <w:lang w:val="hr-BA"/>
        </w:rPr>
        <w:footnoteReference w:id="10"/>
      </w:r>
      <w:r>
        <w:rPr>
          <w:rFonts w:cs="Times New Roman"/>
          <w:iCs/>
          <w:szCs w:val="24"/>
          <w:lang w:val="hr-BA"/>
        </w:rPr>
        <w:t xml:space="preserve">. Naime, upravo u tom zavoju na kojem se nalazi ukrštanje s drugom cestom, započela je destabilizacija vozila a ograničenje brzine je postavljeno zbog tog opasnog zavoja, pa kako je nesavladiva prometna situacija za optuženika nastala u samom zavoju, onda sud prihvaća kao ograničenu brzinu 40 km/h. Nije od utjecaja činjenica da je vozilo udarilo u električni stup nakon zavoja i križanja sa drugom cestom, jer je to samo posljedica obijesne vožnje optuženika koju je započeo prije zavoja i koja je trajala u zavoju i zbog koje optuženik nije niti mogao savladati zavoj te je sletio i zabio se vozilom u električni stup neposredno nakon zavoja. K tome, valja imati na umu da je prometni znak iz suprotnog smjera koji je porušen uslijed udara vozila u električni stup također bio ograničenje brzine od 40 km/h sa znakom upozorenja da slijedi opasnost na cesti, koja se očigledno ogledala u vidu neposredno predstojećeg opasnog zavoja. </w:t>
      </w:r>
    </w:p>
    <w:p>
      <w:pPr>
        <w:pStyle w:val="Normal"/>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 xml:space="preserve">Nadalje, vještak Ćorić je na glavnoj raspravi tvrdio da je iz suprotnog pravca vrijedilo ograničenje brzine od 60 km/h i uvjeravao sudsko vijeće u postojanje takvog prometnog znaka, pa obvezan da sudu dostavi fotografije u prilog svojih tvrdnji, vještak Ćorić je dostavio 3 fotografije iz kojih je razvidan sasvim drugi prometni znak, koji uopće ne sadrži bilo kakav podatak o brzini. Kako bi razriješio ovu dilemu, sud je od PU Ljubuški zatražio i dobio podatak da je riječ o ograničenju brzine od 40 km/h sa znakom upozorenja da slijedi opasnost na cesti koja se očigledno ogledala u vidu neposredno predstojećeg opasnog zavoja. Ovaj pokušaj uvjeravanja suda u neistinu, sud cijeni samo još jednim čvrstim dokazom u paušalan i nestručan i neprofesionalan pristup vještaka Ćorića u izradi nalaza i mišljenja o dimanici ove prometne nezgode. Ograničenje brzine iz oba smjera bilo je od značaja za utvrditi kako bi se dobila potpuna slika i dojam o zavoju u kojem je optuženik izgubio kontrolu nad vozilom tj. riječ je o izuzetno opasnom zavoju, pred koji je iz oba smjera postavljen izričit vertikalni prometni znak ograničenja brzine od 40 km/h sa uskličnikom kao znakom opasnosti iznad znaka sa ograničenjem brzine. </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iCs/>
          <w:szCs w:val="24"/>
          <w:lang w:val="hr-BA"/>
        </w:rPr>
      </w:pPr>
      <w:r>
        <w:rPr>
          <w:rFonts w:cs="Times New Roman"/>
          <w:iCs/>
          <w:szCs w:val="24"/>
          <w:lang w:val="hr-BA"/>
        </w:rPr>
        <w:t xml:space="preserve">Također, neosnovan je prigovor obrane da vještak Đorda nije izlazio na lice mjesta na zavoju gdje je došlo do ove prometne nezgode obzirom da su se, nakon početnog prigovaranja obrane, na prijepisu Zapisnika s glavne rasprave od 24.01.2018. godine na str. 22, obrana, optužba i vještak suglasili da je vještak Đorda izlazio na lice mjesta na zavoj gdje je doista i došlo do ove prometne nezgode a ne na nekom drugom zavoju kako je to u početku obrana neosnovano insinuirala. </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szCs w:val="24"/>
          <w:lang w:val="hr-BA"/>
        </w:rPr>
      </w:pPr>
      <w:r>
        <w:rPr>
          <w:rFonts w:cs="Times New Roman"/>
          <w:szCs w:val="24"/>
          <w:lang w:val="hr-BA"/>
        </w:rPr>
        <w:t xml:space="preserve">Između optužbe i obrane nije sporno ni da je </w:t>
      </w:r>
      <w:r>
        <w:rPr>
          <w:rFonts w:cs="Times New Roman"/>
          <w:i/>
          <w:szCs w:val="24"/>
          <w:lang w:val="hr-BA"/>
        </w:rPr>
        <w:t>tempore criminis</w:t>
      </w:r>
      <w:r>
        <w:rPr>
          <w:rFonts w:cs="Times New Roman"/>
          <w:szCs w:val="24"/>
          <w:lang w:val="hr-BA"/>
        </w:rPr>
        <w:t xml:space="preserve"> vozilo kojim je upravljao optuženi G. bilo u tehnički ispravnom stanju, dakle nema vanjskih utjecaja u vidu nekog kvara na vozilu i sl. koji bi doveli do destabilizacije vozila u zavoju. Takvo nesporno činjenično stanje proizlazi iz iskaza vještaka optužbe prometne struke Branka Mustapića te uvidom i čitanjem njegovog Nalaza i mišljenja o tehničkoj ispravnosti vozila, Interni br. 439/17 od 04.09.2017. godine, koje kao vjerodostojno prihvaća i vještak obrane Ćorić.</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iCs/>
          <w:szCs w:val="24"/>
          <w:lang w:val="hr-BA"/>
        </w:rPr>
        <w:t xml:space="preserve">Obzirom da je riječ o kretanju brzinom od 56 km/h većom od brzine dozvoljene (40 km/h i to u oba smjera kretanja vozila) te obzirom da je riječ o naseljenom mjestu, nesporno je riječ o grubom i bezobzirnom kršenju prometnog propisa iz članka 45 stavak 4 Zakona i tzv. obijesnoj vožnji. Naime, u situaciji kada se optuženik kretao brzinom od oko 96 km/h u početku zanošenja koje nastaje u zavoju a propusna moć zavoja i sigurna brzina je 79 km/h, nesporno je za zaključiti kako je brzina kojom je upravljao optuženik u kombinaciji sa pripitim stanjem tj. alkoholiziranošću optuženika, uzrok ove prometne nezgode. Dakle, </w:t>
      </w:r>
      <w:r>
        <w:rPr>
          <w:rFonts w:cs="Times New Roman"/>
          <w:szCs w:val="24"/>
          <w:lang w:val="hr-BA"/>
        </w:rPr>
        <w:t xml:space="preserve">i po ocjeni ovog suda, vožnja optuženog kroz naseljeno mjesto brzinom koja je više nego dvostruko veća od dozvoljene, u alkoholiziranom stanju, predstavlja grubo i bezobzirno kršenje prometnih propisa, predstavlja ekscesivnu, agresivnu i izuzetno opasnu vožnju kojom se grubo krše prometni propisi, iz čega proizlazi da je optuženi bio svjestan da zbog takvog njegovog činjenja može nastupiti zabranjena posljedica, pa je na istu pristao.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Za zaključiti je da je u toku vožnje optuženi napravio grube i bezobzirne propuste, koji se prije svega manifestiraju u upravljanju vozilom u stanju alkoholiziranosti (stupanj pripitog stanja koje je najopasnije za vožnju) te u obijesnoj vožnji i prevelikoj brzini kretanja vozila od oko 96 km/h u odnosu na ograničenu brzinu od 40 km/h, te sigurnu brzinu ovisnu od propusne moći zavoja, od najviše 79 km/h. Pri tome se vještak Đorda decidno izjasnio da je brzina u uzročno-posljedičnoj vezi sa nastankom prometne nezgode. Imajući u vidu sve naprijed izloženo, ovaj sud smatra da su nalazi i mišljenja vještaka za promet Đorde pravilni i moraju se prihvatiti iz razloga jer su zasnovani na objektivnim i subjektivnim dokazima iz spisa predmeta, a osim toga isti se sasvim određeno izjašnjavao o postojanju odnosno nepostojanju svih relevatnih činjenica o kojima je bio dužan da se izjasni kao vještak u prometno - tehničkom smislu. S obzirom na prednje kao i činjenicu da  isti ničim nisu dovedeni u pitanje, ovaj sud nije imao razloga da ih ne prihvati i na njima ne zasnuje svoja temeljna utvrđenja za koja je bilo potrebno pribaviti stručno mišljenje vještaka prometne struke.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Nadalje, između optužbe i obrane nije sporno da je u prometnoj nezgodi suvozač - sada pok. V.M., zadobio teške tjelesne ozljede u obliku prijeloma krunastog nastavka donje čeljusti desne strane, prijeloma poprečnih nastavaka 2. prsnog kralješka (Th2) i prijeloma poprečnih nastavaka desne strane 2. i 3. leđnog kralješka (L2, L3) leđnog dijela kralježnice, prijeloma desne ključne kosti i desne lopatične kosti, prijeloma rebara III. i IX. lijeve strane prsišta i od I. do VII. desne strane prsišta i krvnog podljeva oko oba bubrega. Prednje nesporno činjenično stanje proizlazi iz iskaza vještakinje medicinske struke dr. Mirele Čarapine, Zapisnika o obdukciji dr. Mirele Čarapina S.p. broj: 18/17 od 20.03.2017. godine (u daljnjem tekstu: Zapisnik o obdukciji), Potvrde o smrti SKB Mostar evidencijski broj: 295/17 od 18.03.2017. godine (u daljnjem tekstu: Potvrda o smrti), </w:t>
      </w:r>
      <w:r>
        <w:rPr>
          <w:rFonts w:cs="Times New Roman"/>
          <w:iCs/>
          <w:szCs w:val="24"/>
          <w:lang w:val="hr-BA"/>
        </w:rPr>
        <w:t xml:space="preserve">Fotodokumentacije PU Ljubuški, broj: 02-2-6/2-2-8-36/17 od 27.06.2017. godine </w:t>
      </w:r>
      <w:r>
        <w:rPr>
          <w:rFonts w:cs="Times New Roman"/>
          <w:szCs w:val="24"/>
          <w:lang w:val="hr-BA"/>
        </w:rPr>
        <w:t xml:space="preserve">te </w:t>
      </w:r>
      <w:r>
        <w:rPr>
          <w:rFonts w:cs="Times New Roman"/>
          <w:iCs/>
          <w:szCs w:val="24"/>
          <w:lang w:val="hr-BA"/>
        </w:rPr>
        <w:t xml:space="preserve">Prijave o povredi Doma zdravlja Ljubuški, Služba hitne medicinske pomoći, broj: 2014/17 od 01.03.2017. godine za V.M. </w:t>
      </w:r>
      <w:r>
        <w:rPr>
          <w:rFonts w:cs="Times New Roman"/>
          <w:szCs w:val="24"/>
          <w:lang w:val="hr-BA"/>
        </w:rPr>
        <w:t>(u daljnjem tekstu: Prijava o povredi).</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Iz prednjih dokaza sud zaključuje da je vještakinja Čarapina izvršila vanjski pregled i obdukciju mrtvog tijela V.M. te na uvjerljiv, jasan i stručan način pred sudom na glavnoj raspravi obrazložila kako je V.M. umro nasilnom smrću zbog obostrane djelomično gnojne upale pluća i poplućnica, koje su posljedica dugotrajnog mirovanja uslijed zadobivenih ozljeda u prometnoj nezgodi, koje su uzrokovale opću nepokretnog V.M. i njegovo dugotrajno mirovanje, da je glavnina zadobivenih ozljeda bila u predjelu prsišta, poglavito više s desne strane što je i dovelo do opisane upale pluća a potom i do smrti.</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Obrana osporava uzročno – posljedičnu vezu (</w:t>
      </w:r>
      <w:r>
        <w:rPr>
          <w:rFonts w:cs="Times New Roman"/>
          <w:i/>
          <w:szCs w:val="24"/>
          <w:lang w:val="hr-BA"/>
        </w:rPr>
        <w:t>causalni nexus</w:t>
      </w:r>
      <w:r>
        <w:rPr>
          <w:rFonts w:cs="Times New Roman"/>
          <w:szCs w:val="24"/>
          <w:lang w:val="hr-BA"/>
        </w:rPr>
        <w:t xml:space="preserve">) između zadobivenih teških tjelesnih povreda i smrti pok. V.M. 18 dana poslije prometne nezgode tj. 18.03.2017. godine u SKB Mostar. Zbog navoda vještakinje Čarapina u Zapisniku o obdukciji na str. 5 posljednji pasus: „Upalne promjene u plućima, bronhima i ovojnicama pluća – </w:t>
      </w:r>
      <w:r>
        <w:rPr>
          <w:rFonts w:cs="Times New Roman"/>
          <w:i/>
          <w:szCs w:val="24"/>
          <w:lang w:val="hr-BA"/>
        </w:rPr>
        <w:t>mogle su nastati zbog</w:t>
      </w:r>
      <w:r>
        <w:rPr>
          <w:rFonts w:cs="Times New Roman"/>
          <w:szCs w:val="24"/>
          <w:lang w:val="hr-BA"/>
        </w:rPr>
        <w:t xml:space="preserve">…“, prema tvrdnji obrane, smrt V.M. je mogla nastati i zbog niza drugih zdravstvenih problema nepovezanih sa konkretnom prometnom nezgodom pa tako npr. zbog možebitne prethodne astme, navodnih ozljeda iz ranije prometne nezgode kao i niza drugih ozljeda i bolesti zbog kojih je možda sada pok. V.M. nekada ranije ležao u bolnici.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Međutim, obrana takve svoje tvrdnje nije dokazala niti jednim dokazom niti o istima postoje makar i indicije. S druge strane vještakinja Čarapina je na stručan, objektivan, uvjerljiv i nedvojben način utvrdila i obrazložila uzročno – posljedičnu vezu između zadobivenih ozljeda u prometnoj nezgodi sa smrću V.M. te na str. 10 prijepisa Zapisnika s glavne rasprave od 24.01.2018. godine, izjavila da korigira u tom dijelu svoj zaključak na način da isti treba glasiti kako su upalne promjene u plućima, bronhima i ovojnicama pluća </w:t>
      </w:r>
      <w:r>
        <w:rPr>
          <w:rFonts w:cs="Times New Roman"/>
          <w:i/>
          <w:szCs w:val="24"/>
          <w:lang w:val="hr-BA"/>
        </w:rPr>
        <w:t>nastale</w:t>
      </w:r>
      <w:r>
        <w:rPr>
          <w:rFonts w:cs="Times New Roman"/>
          <w:szCs w:val="24"/>
          <w:lang w:val="hr-BA"/>
        </w:rPr>
        <w:t xml:space="preserve"> (dakle bez ikakvih dvojbi) zbog smanjene ventilacije plućnog tkiva, zbog zadobivenih višestrukih ozljeda prsnog koša uslijed čega je došlo do nakupljanja izljeva u prsištima, usporenog tijeka i staze krvi te smanjene otpornosti organizma (imunokompromitacija) tijekom dugotrajnog mirovanja, koje mirovanje i ozljede prsišta su izravna posljedica prometne nezgode. Dakle, iz prednjeg nedvojbeno proizlazi, da između prometne nezgode koju je prouzročio optuženi G. postoji uzročna veza sa nastupanjem smrti oštećenog</w:t>
      </w:r>
      <w:r>
        <w:rPr>
          <w:rStyle w:val="Sidrofusnote"/>
          <w:rFonts w:cs="Times New Roman"/>
          <w:szCs w:val="24"/>
          <w:lang w:val="hr-BA"/>
        </w:rPr>
        <w:footnoteReference w:id="11"/>
      </w:r>
      <w:r>
        <w:rPr>
          <w:rFonts w:cs="Times New Roman"/>
          <w:szCs w:val="24"/>
          <w:lang w:val="hr-BA"/>
        </w:rPr>
        <w:t>.</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Zbog navedenog, sud prihvaća kao vjerodostojan iskaz vještakinje Čarapina kao i materijalne dokaze i to Zapisnik o obdukciji, Potvrdu o smrti, Prijavu o povredi i </w:t>
      </w:r>
      <w:r>
        <w:rPr>
          <w:rFonts w:cs="Times New Roman"/>
          <w:iCs/>
          <w:szCs w:val="24"/>
          <w:lang w:val="hr-BA"/>
        </w:rPr>
        <w:t>Fotodokumentaciju PU Ljubuški, broj: 02-2-6/2-2-8-36/17 od 27.06.2017. godine</w:t>
      </w:r>
      <w:r>
        <w:rPr>
          <w:rFonts w:cs="Times New Roman"/>
          <w:szCs w:val="24"/>
          <w:lang w:val="hr-BA"/>
        </w:rPr>
        <w:t>, temeljem kojih dokaza je Tužiteljstvo dokazalo objektivni uvjet inkriminacije iz članka 336 stavak 2 KZ FBiH u vezi sa člankom 332 stavak 1 KZ FBiH, a to je smrt oštećenog V.M. koja je ima pripisati nehatu optuženog G.a. Pri tome sud podsjeća da je posljedica ovog kaznenog djela nastupila samim ugrožavanjem javnog prometa, tj. dovođenjem u opasnost života ljudi ili imovine većih razmjera, pa se i eventualni umišljaj učinitelja cijeni u odnosu na tako određenu posljedicu. Naime, pristanak optuženog na posljedicu kod ovog kaznenog djela i ne promatra se u odnosu na nastalu povredu već u odnosu na ugrožavanje javnog prometa, odnosno, dovođenje u konkretnu opasnost života ljudi ili imovine u određenom opsegu</w:t>
      </w:r>
      <w:r>
        <w:rPr>
          <w:rStyle w:val="Sidrofusnote"/>
          <w:rFonts w:cs="Times New Roman"/>
          <w:szCs w:val="24"/>
          <w:lang w:val="hr-BA"/>
        </w:rPr>
        <w:footnoteReference w:id="12"/>
      </w:r>
      <w:r>
        <w:rPr>
          <w:rFonts w:cs="Times New Roman"/>
          <w:szCs w:val="24"/>
          <w:lang w:val="hr-BA"/>
        </w:rPr>
        <w:t xml:space="preserve">. U konkretnom slučaju, optuženi G. je konzumacijom alkohola i vožnjom u alkoholiziranom stanju te upravljajući vozilom obijesnom brzinom na opisani način, upravo i pristao na posljedicu u vidu ugrožavanja javnog prometa čime je doveo u opasnost život oštećenog, dok se daljnja posljedica (objektivni uvjet inkriminacije) - smrt oštećenog, ima pripisati nehatu optuženog.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Dakle, kada su u pitanju povrede oštećenog, o njima se sasvim određeno i dovoljno izjasnila vještakinja dr. Čarapina. Prema njenim navodima nema nikakve dvojbe da je u dinamici nastanka ove prometne nezgode oštećeni zadobio sve naprijed navedene povrede koje su uzrokovale njegovu smrt. Pošto je u odnosu na uzročno-posljedičnu vezu nastalih povreda oštećenog od udara vozila od optuženog u električni stup, vještakinja bila sasvim određena i jasna, te njene navode obrana nije ničim dovela u pitanje, to onda ovaj sud nije imao nikakvog razloga da ih ne prihvati kao točne. Ovo pogotovo jer je spomenuta vještakinja ne samo poznata po svojoj stručnosti, već i zbog toga jer su njena izjašnjenja bila vrlo jasna i nedvosmislena, pa je na osnovu njih ovaj sud mogao izvesti pouzdane zaključke koji se temelje na njenom stručnom mišljenju, a odnose se na uzročno-posljedičnu vezu između povreda koje je zadobio oštećeni u ovoj prometnoj nezgodi i nastupanja njegove smrti. </w:t>
      </w:r>
    </w:p>
    <w:p>
      <w:pPr>
        <w:pStyle w:val="Normal"/>
        <w:ind w:firstLine="720"/>
        <w:rPr>
          <w:rFonts w:cs="Times New Roman"/>
          <w:szCs w:val="24"/>
          <w:lang w:val="hr-BA"/>
        </w:rPr>
      </w:pPr>
      <w:r>
        <w:rPr>
          <w:rFonts w:cs="Times New Roman"/>
          <w:szCs w:val="24"/>
          <w:lang w:val="hr-BA"/>
        </w:rPr>
      </w:r>
    </w:p>
    <w:p>
      <w:pPr>
        <w:pStyle w:val="Normal"/>
        <w:ind w:firstLine="720"/>
        <w:rPr>
          <w:rFonts w:cs="Times New Roman"/>
          <w:iCs/>
          <w:szCs w:val="24"/>
          <w:lang w:val="hr-BA"/>
        </w:rPr>
      </w:pPr>
      <w:r>
        <w:rPr>
          <w:rFonts w:cs="Times New Roman"/>
          <w:iCs/>
          <w:szCs w:val="24"/>
          <w:lang w:val="hr-BA"/>
        </w:rPr>
        <w:t>Iz Naloga Županijskog Tužiteljstva br. T08 0 KT 0005347/17 od 20. ožujka 2017. godine, Naloga o provođenju strojarskog vještačenja tehničke ispravnosti vozila Županijskog tužiteljstva br. T08 0 KT 0005347/17 od 23. kolovoza 2017. godine i Naloga o provođenju prometnog vještačenja Županijskog tužiteljstva Široki Brijeg br. T08 0 KT 0005347/17 od 23.kolovoza 2017. godine, proizlazi da je Tužiteljstvo u fazi istrage na zakonit način odredilo provođenje obdukcije mrtvog tijela V.M., vještačenje tehničke ispravnosti vozila kojim je upravljao optuženik te prometno – tehničko vještačenje.</w:t>
      </w:r>
    </w:p>
    <w:p>
      <w:pPr>
        <w:pStyle w:val="Normal"/>
        <w:ind w:firstLine="720"/>
        <w:rPr>
          <w:rFonts w:cs="Times New Roman"/>
          <w:iCs/>
          <w:szCs w:val="24"/>
          <w:lang w:val="hr-BA"/>
        </w:rPr>
      </w:pPr>
      <w:r>
        <w:rPr>
          <w:rFonts w:cs="Times New Roman"/>
          <w:iCs/>
          <w:szCs w:val="24"/>
          <w:lang w:val="hr-BA"/>
        </w:rPr>
      </w:r>
    </w:p>
    <w:p>
      <w:pPr>
        <w:pStyle w:val="Normal"/>
        <w:ind w:firstLine="720"/>
        <w:rPr>
          <w:rFonts w:cs="Times New Roman"/>
          <w:szCs w:val="24"/>
          <w:lang w:val="hr-BA"/>
        </w:rPr>
      </w:pPr>
      <w:r>
        <w:rPr>
          <w:rFonts w:cs="Times New Roman"/>
          <w:szCs w:val="24"/>
          <w:lang w:val="hr-BA"/>
        </w:rPr>
        <w:t>Dakle, iz svih naprijed obrazloženih dokaza sud utvrđuje da je Tužiteljstvo van svake razumne sumnje dokazalo da je u vrijeme, na mjestu i na način kako je to navedeno u izreci ove presude došlo do prometne nezgode u kojoj je smrtno stradao suvozač – oštećeni V.M..</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Da bi se radilo o umišljajnom ugrožavanju sigurnosti javnog prometa, sviješću optuženog je moralo biti obuhvaćeno postojanje uzročno-posljedične veze, između upotrebe alkohola, kršenja prometnih propisa i nastupanja posljedice ovog kaznenog djela u vidu stvaranju konkretne opasnosti za živote ili tijelo ljudi ili za imovinu u određenom obimu. Pored toga, za postojanje umišljaja potrebno je da kršenje prometnih propisa bude grubo ili bezobzirno. U konkretnom slučaju, kada se uzme u obzir alkoholizirano stanje optuženog u vrijednosti od 0,96 g/kg alkohola u krvi isto je neminovno u uzročnoj vezi sa kršenjem prometnog propisa o nedopuštenoj brzini u smislu članka 45 stavak 4 Zakona, a obzirom da je riječ više nego dvostruko većoj brzini, to je nesporno da je kršenje naprijed spomenutih materijalno pravnih prometnih propisa bilo grubo i bezobzirno.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Dakle, radnje optuženog mogu se kvalificirati kao umišljajne, jer postoji uzročno posljedična veza između upotrebe alkohola sa povredom prometnog propisa, koja se ogleda u obijesnoj vožnji, što je doista grubo i bezobzirno. Prema tezi tužitelja iznesenoj u činjeničnom supstratu djela iz optužnice, ali i prema uvjerenju suda, alkoholiziranost i obijesna vožnja optuženog predstavljaju grubo i bezobzirno kršenje prometnih propisa, obzirom da je protivno odredbi člana 177 stavak 1 i 2 Zakona, u dinamici nastanka ove prometne nezgode optuženik bio pod utjecajem alkohola i jer se u smislu članka 40 stavak 1 i članka 45 stavak 4 Zakona, kretao brzinom 56 km/h većom od prometnim znakom ograničene brzine od 40 km/h (dakle više nego dvostruko većom brzinom od dopuštene) k tome krećući se uglavnom lijevom kolničkom trakom (kao posljedicom zanošenja uslijed kočenja kao reakcijom na destabilizaciju vozila), dakle ne onom kojom se dužan kretati, pa uslijed svih tih kršenja prometnih propisa, nije uspio savladati zavoj niti se blagovremeno zaustaviti pred električnim stupom u koji je udario vozilom i to desnom bočnom stranom, kojom prilikom je suvozač u njegovom vozilu oštećeni V.M. zadobio teške tjelesne povrede od kojih je umro.</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Okolnosti da je bio optuženi bio u alkoholiziranom stanju kao i obijesna vožnja, sud je okarakterizirao kao grubo i bezobzirno kršenje prometnih propisa, jer je u takvoj njegovoj vožnji sadržana veća mjera protupravnosti od one koju podrazumijeva tzv. „uobičajeno“ kršenje prometnih propisa. Ovo pogotovo kada se uzmu u obzir činjenica da nema drugih osoba niti okolnosti van ponašanja optuženika, koje su dovele do ove prometne nezgode. Dakle, isključivi krivac je optuženik.</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Prema razlozima koji su naprijed izneseni, ovaj sud je prihvatio da je od strane optuženog kršenje prometnih propisa u dinamici nastanka ove prometne nezgode bilo grubo i bezobzirno što ima za posljedicu, da je, zbog grubog i bezobzirnog kršenja prometnih propisa, oblik krivnje optuženog umišljajnog karaktera (eventualni umišljaj) čime se radnje optuženog iz činjeničnog opisa djela pravno kvalificiraju kao Teško kazneno djelo protiv sigurnosti javnog prometa iz članka 336 stavak 2 </w:t>
      </w:r>
      <w:r>
        <w:rPr>
          <w:rFonts w:cs="Times New Roman"/>
          <w:szCs w:val="24"/>
          <w:lang w:val="hr-BA" w:eastAsia="hr-HR"/>
        </w:rPr>
        <w:t xml:space="preserve">KZ FBiH </w:t>
      </w:r>
      <w:r>
        <w:rPr>
          <w:rFonts w:cs="Times New Roman"/>
          <w:szCs w:val="24"/>
          <w:lang w:val="hr-BA"/>
        </w:rPr>
        <w:t xml:space="preserve">u vezi s kaznenim djelom Ugrožavanje javnog prometa iz članka 332 stavak 1 KZ FBiH, budući je optuženik u inkriminiranom događaju pokazao izrazito nekritičan, grub i bezobziran odnos prema prometnim pravilima, po kojima je, kao sudionik u prometu, bio dužan postupati.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Kada je u pitanju prijedlog za ostvarivanje imovinsko pravnog zahtjeva, sud relevantnim cijeni iskaz majke oštećenog V.M., oštećene A.K. da je angažirala odvjetnicu koja rješava naknadu štete van sudski, da nije još sve završeno ali da u kaznenom postupku ne traži naknadu štete po bilo kojem osnovu. Zbog navedenog, sud nije u izreci presude ni na kakav način odlučivao o prijedlogu za ostvarivanje imovinskopravnog zahtjeva.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Sud nije uvažio prijedlog optužbe i obrane da se kao olakotna okolnost na strani optuženika uzme da ga majka oštećenog ne tereti, jer to nije točno. Naime, A.K. to nije spomenula niti jednom riječju a njeno povučeno i suzdržano ponašanje na glavnoj raspravi, izjava da „ne može“ svjedočiti te kratko i šturo odgovaranje na postavljena pitanja, nikako se ne može okvalificirati kao „neterećenje“ optuženika, nego kao posve životno i razumljivo ponašanje jedne majke „zavijene u tugu“ zbog tragične i iznenadne smrti svoga sina, koji ničim nije doprinio preranom okončanju svog mladog života.</w:t>
      </w:r>
    </w:p>
    <w:p>
      <w:pPr>
        <w:pStyle w:val="Normal"/>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U vezi sa kaznenopravnom sankcijom koja je izrečena optuženom G.u, ovaj sud je prije svega cijenio težinu (grubo i bezobzirno kršenje prometnih propisa sa smrtnom posljedicom suvozača) učinjenog krivičnog djela za koje je optuženi oglašen krivim i stupanj njegove krivnje (eventualni umišljaj) te imao u vidu da je za ovo kazneno djelo propisana kazna zatvora od najmanje 1 (jedne) godine.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Ovaj sud je optuženom kao olakšavajuće okolnosti cijenio mladu životnu dob, činjenicu da ranije nije osuđivan</w:t>
      </w:r>
      <w:r>
        <w:rPr>
          <w:rFonts w:cs="Times New Roman"/>
          <w:iCs/>
          <w:szCs w:val="24"/>
          <w:lang w:val="hr-BA"/>
        </w:rPr>
        <w:t xml:space="preserve"> (razvidno iz Izvoda iz kaznene evidencije za , PU Ljubuški, broj: 02-2-6/2-5-521/17 JK od 31.08.2017. godine)</w:t>
      </w:r>
      <w:r>
        <w:rPr>
          <w:rFonts w:cs="Times New Roman"/>
          <w:szCs w:val="24"/>
          <w:lang w:val="hr-BA"/>
        </w:rPr>
        <w:t xml:space="preserve"> a</w:t>
      </w:r>
      <w:r>
        <w:rPr>
          <w:rFonts w:cs="Times New Roman"/>
          <w:iCs/>
          <w:szCs w:val="24"/>
          <w:lang w:val="hr-BA"/>
        </w:rPr>
        <w:t xml:space="preserve"> iz iskaza optuženog (kojem u tom dijelu sud poklanja vjeru jer je logično da je uslijed siline udara i sam zadobio ozljede) sud je utvrdio da je i optuženik zadobio ozljede u prometnoj nezgodi (potres mozga i natuknuće rebara zbog čega je tri dana bio u bolnici),</w:t>
      </w:r>
      <w:r>
        <w:rPr>
          <w:rFonts w:cs="Times New Roman"/>
          <w:szCs w:val="24"/>
          <w:lang w:val="hr-BA"/>
        </w:rPr>
        <w:t xml:space="preserve"> da mu je oštećeni bio prijatelj, da se poslije ukidanja prvostupanjske presude oženio i postao otac jednog djeteta, kao i da je stupio u telefonski kontakt s bratom pok. V.M., izrazio mu sućut, kajanje i stavio se na raspolaganje za bilo kakvu pomoć. Osobito olakotnih okolnosti, zasebno niti u ukupnosti, ovaj sud nije našao, pa da bi optuženiku izrekao zatvorsku kaznu ispod zakonom propisanog minimuma.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Sud je ispitao mogućnost izricanja uvjetne osude te našao da nisu ispunjeni uvjeti iz članka 62 stavak 2 KZ FBiH. Naime, uvjetna osuda je mjera upozorenja koja se shodno članku 60 KZ FBiH izriče kada se ne mora primijeniti kažnjavanje i kada kažnjavanje nije nužno radi kaznenopravne zaštite, pa se kazneno odgovornom učinitelju upućuje upozorenje uz prijetnju kaznom te se njome omogućuje ostvarivanje svrhe kazneno-pravne sankcije izricanjem kazne bez njezina izvršenja, kada izvršenje kazne nije prijeko potrebno radi kaznenopravne zaštite. Člankom 62 KZ FBiH jasno je propisano da pri odlučivanju hoće li izreći uvjetnu osudu, sud vodi računa o svrsi uvjetne osude a posebno uzima u obzir ličnost učinitelja, njegov raniji život, njegovo ponašanje poslije učinjenog kaznenog djela, stupanj krivnje i druge okolnosti pod kojima je kazneno djelo učinjeno. Obzirom da je nesporno da je optuženi G. umišljajno počinio predmetno kazneno djelo, da je u alkoholiziranom stanju na grub i bezobziran način kršio prometne propise te imajući u vidu zauvijek izgubljeni život jednog mladog čovjeka, sud je čvrstog uvjerenja da nema mjesta izricanju uvjetne osude optuženiku.</w:t>
      </w:r>
    </w:p>
    <w:p>
      <w:pPr>
        <w:pStyle w:val="Normal"/>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Od otegotnih okolnosti na strani optuženika sud nalazi njegovo ponašanje nakon počinjenog kaznenog djela tj. da nije smogao snage da niti 4 godne nakon prometne nezgode, ode do majke oštećenog i osobno joj izrazi sućut. Naime, u svom iskazu optuženi odaje dojam da se u njemu bore raznovrsni osjećaji povodom događaja iz optužnice te da svoju ulogu u svemu ne može sa sigurnošću definirati jer se ne sjeća samog događaja, osim do dolaska pred zavoj i zanošenja u lijevo. Izraz sućuti i žal zbog smrti V.M., optuženik je mogao napraviti i na glavnoj raspravi pred sudom prilikom saslušanja majke oštećenog A.K., međutim nije to učinio. Nadalje, iz iskaza oštećene A.K. sud utvrđuje da su roditelji optuženika bili na sahrani njenog sina i da drugih kontakata nije bilo, što sud dodatno uvjerava u izostanak iskrenog suosjećanja optuženika sa obitelji pok. V.M..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Sam odlazak na sahranu uobičajena je gesta izražavanja sućuti obitelji pokojnika, prihvatljiva i dovoljna za većinu ljudi, ali, očigledno ne i za optuženika.</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Naime, optuženik je mogao ako ne na sahrani, onda bilo kada kasnije (imao je 4 godine na raspolaganju) otići do majke pokojnog M. i osobno joj na mnogo intimniji, iskreniji ljudski način izraziti sućut, što bi onda ovaj sud cijenio kao olakotnu okolnost na strani optuženika, jer je to bilo za očekivati od nekoga tko je bio «kao obitelj» optuženiku kako to i sam navodi u svom iskazu.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Kako je to izostalo te kako je izostao bilo kakav napor sa optuženikove strane u uspostavljanju ikakvih odnosa pa makar i jednokratnog susreta s ciljem iskrenog, dubokog i istinskog izražavanja sućuti za gubitak V.M. za njegovu obitelj, sud je čvrstog uvjerenja kako je iskaz optuženika u dijelu u kojem govori o kajanju, sračunat ka olakšanju vlastite procesne pozicije optuženika i izbjegavanju vlastite kaznene odgovornosti zbog čega istom u tom dijelu ne poklanja vjeru.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Ne može se optuženi G. pravdati time da osjeća da „nije poželjan“ i „jer nema hrabrosti da dođe pred tu ženu“, jer su to karakteristike osobe koja je nije potpuno svjesna posljedica svojih postupaka. Teško je povjerovati da bi bilo kojem roditelju „bio poželjan“ onaj čijom krivnjom je zauvijek izgubljen život njegovog/njezinog djeteta, ali bi to bio znak da optuženi G. shvaća što je učinio, da je pokušao otići i pokucati na njena vrata, nazvati ju telefonom, napisati joj pismo, poruku, bilo što aktivno. Međutim, ništa od navedenog nije učinio. Istina, stupio je u telefonski kontakt sa bratom pok. V.M., izrazio mu sućut, kajanje i stavio se na raspolaganje, ali nije to učinio onoj kojoj je trebao po svim ljudskim i moralnim pravilima i običajima. Nije to učinio majci pokojnika.</w:t>
      </w:r>
    </w:p>
    <w:p>
      <w:pPr>
        <w:pStyle w:val="Normal"/>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Nadalje, sud ostaje kod zaključaka iz prvo provedenog postupka, da je na stranici 16 prijepisa Zapisnika sa glavne rasprave od 24.01.2018. godine, konstatirao da je kod optuženika na licu primjetan osmjeh, pa je čak optuženika i pitao da li mu je nešto smiješno na što je optuženik odgovorio niječno.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Zbog navedenog sud cijeni da ne može biti riječ o korektnom držanju optuženika pred sudom kao olakotnoj okolnosti kako to predlažu optužba i obrana. Ovakav konstatirani osmjeh na licu optuženika sud navodi, primjera radi, kako bi obrazložio svoje uvjerenje da optuženik odaje dojam hladne, emocionalno nezrele osobe koja ne shvaća u potpunosti posljedice isključivo svojih radnji, koje su zauvijek ugasile jedan mladi život V.M. koji ničim nije doprinio takvom završetku. Prednji zaključak suda potkrjepljuje i način na koji se optuženik obratio sudu u završnoj riječi u ponovljenom postupku, pa tako, između ostalog kaže: „desilo se što se desilo“. To su hladne riječi koje ne može izgovoriti čovjek koji se istinski kaje i koji je svjestan da je njegovom krivnjom V.M. mrtav čovjek, koji nikada neće imati priliku da se oženi, zasnuje obitelj i postane otac djetetu, kako je to nastavak života donio optuženom G.u.</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Iz prednjeg uvjerenja sud zaključuje da je optuženiku neophodno izreći zatvorsku kaznu znatno iznad propisanog minimuma, kako bi se izrazila i društvena osuda počinjenog kaznenog djela ali i ponašanja učinitelja nakon istog, cijeneći da će vrijeme provedeno u zatvoru u izrečenom trajanju pomoći optuženom G.u da shvati ozbiljnost svojih radnji i njihovu društvenu opasnost, čime sud smatra da je poduzeo sve u okviru svoje nadležnosti da spriječi optuženog G.a da ponovno zauvijek ugasi još nečiji život, možda idući put posve nedužnih ljudi koji se budu kretali kao pješaci ili u vozilu iz suprotnog smjera.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Sud je dubokog uvjerenja da bi bilo nemoralno i suprotno specijalnoj i generalnoj prevenciji, optuženiku izreći manju zatvorsku kaznu, jer bi se time optuženiku poručilo da nije učinio ništa strašno, posebno ako bi mu se izrekla kazna zatvora do 1 godine koju je moguće i platiti zamjenom za novčanu kaznu. Moralno je nedopustivo platiti kaznu za smrt jednog ljudskog bića u konkretnim okolnostima. Kakvu onda poruku šalje pravosudni sustav počiniteljima takvih i sličnih kaznenih djela, izričući im blage zatvorske kazne? Vrlo jasnu, da je moguće „napiti se“, iživljavati se u prometu sa najtežim posljedicama, na najgrublji i najbezobzirniji način kršiti prometne propise i «izvući se» sa godinom – dvije dana zatvora.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Po nedvojbenom uvjerenju ovog suda, bilo bi to pogubno za mnogobrojne građane ove županije pa i čitave države, koji svakodnevno «nose glavu u torbama» krećući se kao pješaci i u svojim vozilima, pri čemu bi moralno skrhavajuća i poražavajuća bila spoznaja o odsustvu primjerene reakcije pravosudnog aparata u smislu adekvatne kaznene politike za kaznena djela počinjena u prometu. </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Oštećeni sutra mogu biti svima nama bliske osobe ali onda nećemo imati pravo da «strože» kaznimo počinitelja jer smo svi jednaki pred zakonom. Ovo sud ističe jer je nužno imati u vidu da sigurno i nesmetano odvijanje prometa predstavlja odgovornost svih nas i svih sudionika u prometu jer je siguran promet značajna gospodarska djelatnost, jedan od načina na koji se realizira sve jača potreba poslovne i privatne komunikacije ljudi, shodno čemu predstavlja jasan pokazatelj trenutnog stadija razvoja društva u nekoj državi i opće prometne kulture njenih građana. Opća porast ovih kaznenih djela zahtijeva posebnu društvenu i kriminalno-političku pozornost i obavezu svih segmenata pravosudnog sustava da svatko u svom domenu zaštiti društvo od prometne delikvencije.</w:t>
      </w:r>
    </w:p>
    <w:p>
      <w:pPr>
        <w:pStyle w:val="Normal"/>
        <w:ind w:firstLine="720"/>
        <w:rPr>
          <w:rFonts w:cs="Times New Roman"/>
          <w:szCs w:val="24"/>
          <w:lang w:val="hr-BA"/>
        </w:rPr>
      </w:pPr>
      <w:r>
        <w:rPr>
          <w:rFonts w:cs="Times New Roman"/>
          <w:szCs w:val="24"/>
          <w:lang w:val="hr-BA"/>
        </w:rPr>
      </w:r>
    </w:p>
    <w:p>
      <w:pPr>
        <w:pStyle w:val="Normal"/>
        <w:ind w:firstLine="720"/>
        <w:rPr>
          <w:rFonts w:cs="Times New Roman"/>
          <w:color w:val="000000"/>
          <w:szCs w:val="24"/>
          <w:lang w:val="hr-BA"/>
        </w:rPr>
      </w:pPr>
      <w:r>
        <w:rPr>
          <w:rFonts w:cs="Times New Roman"/>
          <w:szCs w:val="24"/>
          <w:lang w:val="hr-BA"/>
        </w:rPr>
        <w:t>Dakle, imajući u vidu sve naprijed obrazloženo, ovaj sud je optuženom za predmetno kazneno djelo izrekao kaznu zatvora od 3 godine i 4 mjeseca cijeneći da se njome može postići svrha kažnjavanja. Po nedvojbeno čvrstom uvjerenju suda izrečena vrsta i visina kaznene sankcije apsolutno nije ono što se u pravnom žargonu naziva drakonskim kažnjavanjem, retribucijom – odmazdom, već ona u cijelosti izražava duh odredbe članka 42 KZ FBiH – svrhu kažnjavanja, pa je zbog toga odgovarajuća stupnju društvene opasnosti počinjenih kaznenih djela i stupnju kaznene odgovornosti optuženika.</w:t>
      </w:r>
      <w:r>
        <w:rPr>
          <w:rFonts w:cs="Times New Roman"/>
          <w:color w:val="000000"/>
          <w:szCs w:val="24"/>
          <w:lang w:val="hr-BA"/>
        </w:rPr>
        <w:t xml:space="preserve"> </w:t>
      </w:r>
    </w:p>
    <w:p>
      <w:pPr>
        <w:pStyle w:val="Normal"/>
        <w:ind w:firstLine="720"/>
        <w:rPr>
          <w:rFonts w:cs="Times New Roman"/>
          <w:color w:val="000000"/>
          <w:szCs w:val="24"/>
          <w:lang w:val="hr-BA"/>
        </w:rPr>
      </w:pPr>
      <w:r>
        <w:rPr>
          <w:rFonts w:cs="Times New Roman"/>
          <w:color w:val="000000"/>
          <w:szCs w:val="24"/>
          <w:lang w:val="hr-BA"/>
        </w:rPr>
      </w:r>
    </w:p>
    <w:p>
      <w:pPr>
        <w:pStyle w:val="Normal"/>
        <w:ind w:firstLine="720"/>
        <w:rPr>
          <w:rFonts w:cs="Times New Roman"/>
          <w:color w:val="000000"/>
          <w:szCs w:val="24"/>
          <w:lang w:val="hr-BA"/>
        </w:rPr>
      </w:pPr>
      <w:r>
        <w:rPr>
          <w:rFonts w:cs="Times New Roman"/>
          <w:color w:val="000000"/>
          <w:szCs w:val="24"/>
          <w:lang w:val="hr-BA"/>
        </w:rPr>
        <w:t>Ovakvom zatvorskom kaznom sud cijeni da će se utjecati na samog optuženog G.a da ubuduće bude svjestan da će mu se izreći „ozbiljna“ zatvorska kazna za ponovljeno slično kazneno djelo, ali će se izrečenom zatvorskom kaznom utjecati i na potencijalne počinitelje ako budu znali da se neće „moći izvući“ sa uvjetnom osudom niti blažom zatvorskom kaznom u slučaju da počine slično kazneno djelo (preventivna svrha kažnjavanja). Također, ne treba zaboraviti pravednost kažnjavanja počinitelja kao dio generalne prevencije ali i moralnu satisfakciju žrtve/oštećenog i/ili njegove obitelji svakog kaznenog djela pa i ovog. Po uvjerenju suda izrečena kazna primjerena je težini ostvarenog kaznenog djela i stupnju optuženikove krivnje. Polazeći od svrhe kažnjavanja te cijeneći sve navedene okolnosti sud je našao da je svrhu kažnjavanja moguće postići isključivo zatvorskom kaznom i to u nešto dužem trajanju.</w:t>
      </w:r>
    </w:p>
    <w:p>
      <w:pPr>
        <w:pStyle w:val="Normal"/>
        <w:ind w:firstLine="720"/>
        <w:rPr>
          <w:rFonts w:cs="Times New Roman"/>
          <w:szCs w:val="24"/>
          <w:lang w:val="hr-BA"/>
        </w:rPr>
      </w:pPr>
      <w:r>
        <w:rPr>
          <w:rFonts w:cs="Times New Roman"/>
          <w:szCs w:val="24"/>
          <w:lang w:val="hr-BA"/>
        </w:rPr>
      </w:r>
    </w:p>
    <w:p>
      <w:pPr>
        <w:pStyle w:val="Normal"/>
        <w:ind w:firstLine="720"/>
        <w:rPr>
          <w:rFonts w:cs="Times New Roman"/>
          <w:szCs w:val="24"/>
          <w:lang w:val="hr-BA"/>
        </w:rPr>
      </w:pPr>
      <w:r>
        <w:rPr>
          <w:rFonts w:cs="Times New Roman"/>
          <w:szCs w:val="24"/>
          <w:lang w:val="hr-BA"/>
        </w:rPr>
        <w:t xml:space="preserve">Na osnovu članka 77 stava 3 u vezi sa stavom 1 KZ FBiH, ovaj sud je odlučio kao pod točkom II. izreke i optuženom izrekao mjeru sigurnosti zabrane upravljanja motornim vozilom „B“ kategorije u trajanju od jedne godine, računajući od pravosnažnosti sudske odluke, s tim da se vrijeme izvršenja kazne zatvora ne uračunava u vrijeme trajanja ove mjere. Ovo zbog toga, jer su za njeno izricanje ispunjeni svi uvjeti, obzirom da je optuženi učinio ovo kazneno djelo u alkoholiziranom stanju vozeći obijesnom brzinom što uvjerava sud da  postoji vrlo realna i izgledna opasnost da će upravljajući motornim vozilom ponovo učiniti takvo kazneno djelo. </w:t>
      </w:r>
    </w:p>
    <w:p>
      <w:pPr>
        <w:pStyle w:val="Normal"/>
        <w:rPr>
          <w:rFonts w:cs="Times New Roman"/>
          <w:szCs w:val="24"/>
          <w:lang w:val="hr-BA"/>
        </w:rPr>
      </w:pPr>
      <w:r>
        <w:rPr>
          <w:rFonts w:cs="Times New Roman"/>
          <w:szCs w:val="24"/>
          <w:lang w:val="hr-BA"/>
        </w:rPr>
      </w:r>
    </w:p>
    <w:p>
      <w:pPr>
        <w:pStyle w:val="Normal"/>
        <w:rPr>
          <w:rFonts w:cs="Times New Roman"/>
          <w:iCs/>
          <w:szCs w:val="24"/>
          <w:lang w:val="hr-BA"/>
        </w:rPr>
      </w:pPr>
      <w:r>
        <w:rPr>
          <w:rFonts w:cs="Times New Roman"/>
          <w:szCs w:val="24"/>
          <w:lang w:val="hr-BA"/>
        </w:rPr>
        <w:tab/>
        <w:t xml:space="preserve">Temeljem odredbi članka 202 stavak 1 ZKP FBiH, sud je odlučio kao pod točkom III. tj. da je optuženi dužan platiti troškove kaznenog postupka u iznosu od 1.350,00 KM, sve u roku 30 dana po pravomoćnosti presude i pod prijetnjom ovrhe. Naime, sud je uzeo u obzir kao opravdane troškove Tužiteljstva u fazi istrage na ime obdukcijskog vještačenja, vještačenja tehničke ispravnosti vozila te prometno – tehničkog vještačenja koje troškove je Tužiteljstvo dokazalo </w:t>
      </w:r>
      <w:r>
        <w:rPr>
          <w:rFonts w:cs="Times New Roman"/>
          <w:iCs/>
          <w:szCs w:val="24"/>
          <w:lang w:val="hr-BA"/>
        </w:rPr>
        <w:t xml:space="preserve">Troškovnikom br. T08 0 KT 0005347/17 od 06.09.2017. godine. Dodatno, sud je na zahtjev vještaku Branku Mustapiću dosudio iznos od 50,00 KM za dolazak na sud, te je uzeo u obzir i troškove vještaka neuropsihijatra dr. Terzića u iznosu od 300,00 KM, shodno podnesenom Troškovniku od 23.11.2021. godine. Troškove vještaka Ćorića u iznosu od 300,00 KM optuženik je već uplatio u vidu predujma i isti su vještaku već isplaćeni. </w:t>
      </w:r>
    </w:p>
    <w:p>
      <w:pPr>
        <w:pStyle w:val="Normal"/>
        <w:rPr>
          <w:rFonts w:cs="Times New Roman"/>
          <w:iCs/>
          <w:szCs w:val="24"/>
          <w:lang w:val="hr-BA"/>
        </w:rPr>
      </w:pPr>
      <w:r>
        <w:rPr>
          <w:rFonts w:cs="Times New Roman"/>
          <w:iCs/>
          <w:szCs w:val="24"/>
          <w:lang w:val="hr-BA"/>
        </w:rPr>
      </w:r>
    </w:p>
    <w:p>
      <w:pPr>
        <w:pStyle w:val="Normal"/>
        <w:ind w:firstLine="720"/>
        <w:rPr>
          <w:rFonts w:cs="Times New Roman"/>
          <w:szCs w:val="24"/>
          <w:lang w:val="hr-BA"/>
        </w:rPr>
      </w:pPr>
      <w:r>
        <w:rPr>
          <w:rFonts w:cs="Times New Roman"/>
          <w:iCs/>
          <w:szCs w:val="24"/>
          <w:lang w:val="hr-BA"/>
        </w:rPr>
        <w:t xml:space="preserve">Naime, točno je to da optuženi suprugu suprugu i dijete (koje je po zakonu dužan uzdržavati), ali je isto tako točno da je zaposlen, pa je na uštrb vlastitog komoditeta, kao i onog svoje obitelji, dužan osigurati plaćanje nastalih troškova kaznenog postupka. Naravno, ukoliko </w:t>
      </w:r>
      <w:r>
        <w:rPr>
          <w:rFonts w:cs="Times New Roman"/>
          <w:szCs w:val="24"/>
          <w:lang w:val="hr-BA"/>
        </w:rPr>
        <w:t>optuženi ne bude u mogućnosti da troškove plati, odnosno ako bi plaćanjem troškova doveo u pitanje svoje izdržavanje ili izdržavanje članova obitelji koje je dužan uzdržavati po zakonu, člankom 202 stav 4 ZKP FBiH propisana je mogućnost da sud oslobodi optuženog od obaveze naknade troškova u cijelosti ili djelomično i to će učiniti na traženje optuženog, ali pod uvjetom da optuženi priloži dokaze o tome da nije u materijalnoj mogućnosti da plati troškove</w:t>
      </w:r>
      <w:r>
        <w:rPr>
          <w:rStyle w:val="Sidrofusnote"/>
          <w:rFonts w:cs="Times New Roman"/>
          <w:szCs w:val="24"/>
          <w:lang w:val="hr-BA"/>
        </w:rPr>
        <w:footnoteReference w:id="13"/>
      </w:r>
      <w:r>
        <w:rPr>
          <w:rFonts w:cs="Times New Roman"/>
          <w:szCs w:val="24"/>
          <w:lang w:val="hr-BA"/>
        </w:rPr>
        <w:t>.</w:t>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r>
    </w:p>
    <w:p>
      <w:pPr>
        <w:pStyle w:val="Normal"/>
        <w:tabs>
          <w:tab w:val="clear" w:pos="720"/>
          <w:tab w:val="left" w:pos="851" w:leader="none"/>
        </w:tabs>
        <w:rPr>
          <w:rFonts w:cs="Times New Roman"/>
          <w:iCs/>
          <w:szCs w:val="24"/>
          <w:lang w:val="hr-BA"/>
        </w:rPr>
      </w:pPr>
      <w:r>
        <w:rPr>
          <w:rFonts w:cs="Times New Roman"/>
          <w:b/>
          <w:szCs w:val="24"/>
          <w:lang w:val="hr-BA"/>
        </w:rPr>
        <w:t>POUKA O PRAVNOM LIJEKU:</w:t>
      </w:r>
      <w:r>
        <w:rPr>
          <w:rFonts w:cs="Times New Roman"/>
          <w:szCs w:val="24"/>
          <w:lang w:val="hr-BA"/>
        </w:rPr>
        <w:t xml:space="preserve"> Protiv ove presude dozvoljena je žalba Vrhovnom sudu Federacije Bosne i Hercegovine. Žalba se podnosi u 5 (pet) primjeraka, putem ovog suda, u roku od 15 dana od dana prijema pismenog otpravka presude.</w:t>
      </w:r>
      <w:r>
        <w:rPr>
          <w:rFonts w:cs="Times New Roman"/>
          <w:iCs/>
          <w:szCs w:val="24"/>
          <w:lang w:val="hr-BA"/>
        </w:rPr>
        <w:t xml:space="preserve"> Oštećena može pobijati presudu samo zbog odluke o troškovima kaznenog postupka i odluke o imovinsko</w:t>
      </w:r>
      <w:r>
        <w:rPr>
          <w:rFonts w:cs="Times New Roman"/>
          <w:szCs w:val="24"/>
          <w:lang w:val="hr-BA"/>
        </w:rPr>
        <w:t>pravnom zahtjevu.</w:t>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r>
    </w:p>
    <w:p>
      <w:pPr>
        <w:pStyle w:val="Normal"/>
        <w:rPr>
          <w:rFonts w:cs="Times New Roman"/>
          <w:szCs w:val="24"/>
          <w:lang w:val="hr-BA"/>
        </w:rPr>
      </w:pPr>
      <w:r>
        <w:rPr>
          <w:rFonts w:cs="Times New Roman"/>
          <w:szCs w:val="24"/>
          <w:lang w:val="hr-BA"/>
        </w:rPr>
      </w:r>
    </w:p>
    <w:p>
      <w:pPr>
        <w:pStyle w:val="Normal"/>
        <w:rPr>
          <w:rFonts w:cs="Times New Roman"/>
          <w:b/>
          <w:b/>
          <w:szCs w:val="24"/>
          <w:lang w:val="hr-BA"/>
        </w:rPr>
      </w:pPr>
      <w:r>
        <w:rPr>
          <w:rFonts w:cs="Times New Roman"/>
          <w:b/>
          <w:szCs w:val="24"/>
          <w:lang w:val="hr-BA"/>
        </w:rPr>
        <w:t xml:space="preserve">    </w:t>
      </w:r>
      <w:r>
        <w:rPr>
          <w:rFonts w:cs="Times New Roman"/>
          <w:b/>
          <w:szCs w:val="24"/>
          <w:lang w:val="hr-BA"/>
        </w:rPr>
        <w:t>Zapisničarka</w:t>
        <w:tab/>
        <w:tab/>
        <w:tab/>
        <w:tab/>
        <w:tab/>
        <w:tab/>
        <w:t xml:space="preserve">  </w:t>
        <w:tab/>
        <w:t xml:space="preserve">        Predsjednica vijeća</w:t>
      </w:r>
    </w:p>
    <w:p>
      <w:pPr>
        <w:pStyle w:val="Normal"/>
        <w:rPr>
          <w:rFonts w:cs="Times New Roman"/>
          <w:b/>
          <w:b/>
          <w:szCs w:val="24"/>
          <w:lang w:val="hr-BA"/>
        </w:rPr>
      </w:pPr>
      <w:r>
        <w:rPr>
          <w:rFonts w:cs="Times New Roman"/>
          <w:b/>
          <w:szCs w:val="24"/>
          <w:lang w:val="hr-BA"/>
        </w:rPr>
      </w:r>
    </w:p>
    <w:p>
      <w:pPr>
        <w:pStyle w:val="Normal"/>
        <w:rPr/>
      </w:pPr>
      <w:r>
        <w:rPr>
          <w:rFonts w:cs="Times New Roman"/>
          <w:b/>
          <w:szCs w:val="24"/>
          <w:lang w:val="hr-BA"/>
        </w:rPr>
        <w:t>Slađana Cvitanović</w:t>
        <w:tab/>
        <w:tab/>
        <w:tab/>
        <w:tab/>
        <w:tab/>
        <w:tab/>
        <w:t xml:space="preserve">         </w:t>
        <w:tab/>
        <w:t xml:space="preserve">          Katica Artuković</w:t>
      </w:r>
    </w:p>
    <w:sectPr>
      <w:footerReference w:type="default" r:id="rId2"/>
      <w:footerReference w:type="first" r:id="rId3"/>
      <w:footnotePr>
        <w:numFmt w:val="decimal"/>
      </w:footnotePr>
      <w:type w:val="nextPage"/>
      <w:pgSz w:w="11906" w:h="16838"/>
      <w:pgMar w:left="1418" w:right="1418" w:header="0" w:top="1418" w:footer="709"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17" wp14:anchorId="19316902">
              <wp:simplePos x="0" y="0"/>
              <wp:positionH relativeFrom="rightMargin">
                <wp:align>center</wp:align>
              </wp:positionH>
              <wp:positionV relativeFrom="paragraph">
                <wp:align>center</wp:align>
              </wp:positionV>
              <wp:extent cx="567690" cy="193675"/>
              <wp:effectExtent l="0" t="0" r="0" b="0"/>
              <wp:wrapNone/>
              <wp:docPr id="1" name="Pravokutnik 2"/>
              <a:graphic xmlns:a="http://schemas.openxmlformats.org/drawingml/2006/main">
                <a:graphicData uri="http://schemas.microsoft.com/office/word/2010/wordprocessingShape">
                  <wps:wsp>
                    <wps:cNvSpPr/>
                    <wps:spPr>
                      <a:xfrm flipH="1" rot="10800000">
                        <a:off x="0" y="0"/>
                        <a:ext cx="567000" cy="19296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1984417444"/>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16</w:t>
                              </w:r>
                              <w:r>
                                <w:rPr/>
                                <w:fldChar w:fldCharType="end"/>
                              </w:r>
                            </w:p>
                          </w:sdtContent>
                        </w:sdt>
                      </w:txbxContent>
                    </wps:txbx>
                    <wps:bodyPr tIns="0" bIns="0">
                      <a:noAutofit/>
                    </wps:bodyPr>
                  </wps:wsp>
                </a:graphicData>
              </a:graphic>
            </wp:anchor>
          </w:drawing>
        </mc:Choice>
        <mc:Fallback>
          <w:pict>
            <v:rect id="shape_0" ID="Pravokutnik 2" stroked="f" style="position:absolute;margin-left:13.1pt;margin-top:-0.7pt;width:44.6pt;height:15.15pt;flip:x;rotation:180;mso-position-horizontal:center;mso-position-horizontal-relative:page;mso-position-vertical:center" wp14:anchorId="19316902">
              <w10:wrap type="square"/>
              <v:fill o:detectmouseclick="t" on="false"/>
              <v:stroke color="#3465a4" joinstyle="round" endcap="flat"/>
              <v:textbox>
                <w:txbxContent>
                  <w:sdt>
                    <w:sdtPr>
                      <w:docPartObj>
                        <w:docPartGallery w:val="Page Numbers (Bottom of Page)"/>
                        <w:docPartUnique w:val="true"/>
                      </w:docPartObj>
                      <w:id w:val="681663019"/>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16</w:t>
                        </w:r>
                        <w:r>
                          <w:rPr/>
                          <w:fldChar w:fldCharType="end"/>
                        </w:r>
                      </w:p>
                    </w:sdtContent>
                  </w:sdt>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2" wp14:anchorId="2D754FE3">
              <wp:simplePos x="0" y="0"/>
              <wp:positionH relativeFrom="rightMargin">
                <wp:align>center</wp:align>
              </wp:positionH>
              <wp:positionV relativeFrom="paragraph">
                <wp:align>center</wp:align>
              </wp:positionV>
              <wp:extent cx="567690" cy="193675"/>
              <wp:effectExtent l="0" t="0" r="0" b="0"/>
              <wp:wrapNone/>
              <wp:docPr id="3" name="Pravokutnik 1"/>
              <a:graphic xmlns:a="http://schemas.openxmlformats.org/drawingml/2006/main">
                <a:graphicData uri="http://schemas.microsoft.com/office/word/2010/wordprocessingShape">
                  <wps:wsp>
                    <wps:cNvSpPr/>
                    <wps:spPr>
                      <a:xfrm flipH="1" rot="10800000">
                        <a:off x="0" y="0"/>
                        <a:ext cx="567000" cy="19296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911739618"/>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1</w:t>
                              </w:r>
                              <w:r>
                                <w:rPr/>
                                <w:fldChar w:fldCharType="end"/>
                              </w:r>
                            </w:p>
                          </w:sdtContent>
                        </w:sdt>
                      </w:txbxContent>
                    </wps:txbx>
                    <wps:bodyPr tIns="0" bIns="0">
                      <a:noAutofit/>
                    </wps:bodyPr>
                  </wps:wsp>
                </a:graphicData>
              </a:graphic>
            </wp:anchor>
          </w:drawing>
        </mc:Choice>
        <mc:Fallback>
          <w:pict>
            <v:rect id="shape_0" ID="Pravokutnik 1" stroked="f" style="position:absolute;margin-left:13.1pt;margin-top:-0.7pt;width:44.6pt;height:15.15pt;flip:x;rotation:180;mso-position-horizontal:center;mso-position-horizontal-relative:page;mso-position-vertical:center" wp14:anchorId="2D754FE3">
              <w10:wrap type="square"/>
              <v:fill o:detectmouseclick="t" on="false"/>
              <v:stroke color="#3465a4" joinstyle="round" endcap="flat"/>
              <v:textbox>
                <w:txbxContent>
                  <w:sdt>
                    <w:sdtPr>
                      <w:docPartObj>
                        <w:docPartGallery w:val="Page Numbers (Bottom of Page)"/>
                        <w:docPartUnique w:val="true"/>
                      </w:docPartObj>
                      <w:id w:val="1783875227"/>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1</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jc w:val="both"/>
        <w:rPr/>
      </w:pPr>
      <w:r>
        <w:rPr>
          <w:rStyle w:val="Znakovifusnota"/>
        </w:rPr>
        <w:footnoteRef/>
      </w:r>
      <w:r>
        <w:rPr>
          <w:lang w:val="hr-BA"/>
        </w:rPr>
        <w:t xml:space="preserve"> </w:t>
      </w:r>
      <w:r>
        <w:rPr>
          <w:lang w:val="hr-BA"/>
        </w:rPr>
        <w:t>Službene novine Federacije BiH broj: 36/03, 37/03, 21/04, 69/04, 18/05, 42/10, 42/11, 59/14, 76/14, 46/16 i 75/17.</w:t>
      </w:r>
    </w:p>
  </w:footnote>
  <w:footnote w:id="3">
    <w:p>
      <w:pPr>
        <w:pStyle w:val="Fusnota"/>
        <w:rPr/>
      </w:pPr>
      <w:r>
        <w:rPr>
          <w:rStyle w:val="Znakovifusnota"/>
        </w:rPr>
        <w:footnoteRef/>
      </w:r>
      <w:r>
        <w:rPr/>
        <w:t xml:space="preserve"> </w:t>
      </w:r>
      <w:r>
        <w:rPr>
          <w:szCs w:val="24"/>
          <w:lang w:val="hr-BA"/>
        </w:rPr>
        <w:t>Narodne novine Županije Zapadnohercegovačke broj: 17/14 i 17/15.</w:t>
      </w:r>
    </w:p>
  </w:footnote>
  <w:footnote w:id="4">
    <w:p>
      <w:pPr>
        <w:pStyle w:val="Fusnota"/>
        <w:rPr>
          <w:lang w:val="hr-BA"/>
        </w:rPr>
      </w:pPr>
      <w:r>
        <w:rPr>
          <w:rStyle w:val="Znakovifusnota"/>
        </w:rPr>
        <w:footnoteRef/>
      </w:r>
      <w:r>
        <w:rPr>
          <w:lang w:val="hr-BA"/>
        </w:rPr>
        <w:t xml:space="preserve"> </w:t>
      </w:r>
      <w:r>
        <w:rPr>
          <w:lang w:val="hr-BA"/>
        </w:rPr>
        <w:t>Službene novine Federacije BiH br. 35/03, 37/03, 56/03, 78/04, 28/05, 55/06, 27/07, 53/07, 9/09, 12/10, 8/13, 59/14 i 74/20.</w:t>
      </w:r>
    </w:p>
    <w:p>
      <w:pPr>
        <w:pStyle w:val="Fusnota"/>
        <w:rPr/>
      </w:pPr>
      <w:r>
        <w:rPr/>
      </w:r>
    </w:p>
  </w:footnote>
  <w:footnote w:id="5">
    <w:p>
      <w:pPr>
        <w:pStyle w:val="Fusnota"/>
        <w:rPr/>
      </w:pPr>
      <w:r>
        <w:rPr>
          <w:rStyle w:val="Znakovifusnota"/>
        </w:rPr>
        <w:footnoteRef/>
      </w:r>
      <w:r>
        <w:rPr>
          <w:lang w:val="hr-BA"/>
        </w:rPr>
        <w:t xml:space="preserve"> </w:t>
      </w:r>
      <w:r>
        <w:rPr>
          <w:lang w:val="hr-BA"/>
        </w:rPr>
        <w:t>Objavljena u Službenom glasniku BiH broj: 6/99.</w:t>
      </w:r>
    </w:p>
  </w:footnote>
  <w:footnote w:id="6">
    <w:p>
      <w:pPr>
        <w:pStyle w:val="Fusnota"/>
        <w:jc w:val="both"/>
        <w:rPr/>
      </w:pPr>
      <w:r>
        <w:rPr>
          <w:rStyle w:val="Znakovifusnota"/>
        </w:rPr>
        <w:footnoteRef/>
      </w:r>
      <w:r>
        <w:rPr>
          <w:lang w:val="hr-BA"/>
        </w:rPr>
        <w:t xml:space="preserve"> </w:t>
      </w:r>
      <w:r>
        <w:rPr>
          <w:lang w:val="hr-BA"/>
        </w:rPr>
        <w:t>Isto Odluka o dopustivosti i meritumu Ustavnog suda Bosne i Hercegovine broj AP 2752/16 od 17.01.2018. godine i Presuda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 w:id="7">
    <w:p>
      <w:pPr>
        <w:pStyle w:val="Fusnota"/>
        <w:jc w:val="both"/>
        <w:rPr/>
      </w:pPr>
      <w:r>
        <w:rPr>
          <w:rStyle w:val="Znakovifusnota"/>
        </w:rPr>
        <w:footnoteRef/>
      </w:r>
      <w:r>
        <w:rPr>
          <w:lang w:val="hr-BA"/>
        </w:rPr>
        <w:t xml:space="preserve"> </w:t>
      </w:r>
      <w:r>
        <w:rPr>
          <w:lang w:val="hr-BA"/>
        </w:rPr>
        <w:t xml:space="preserve">Više u stručnom radu dr. Gruber, E.N. Vještačenje stupnja alkoholiziranosti, Objavljen u </w:t>
      </w:r>
      <w:r>
        <w:rPr>
          <w:bCs/>
          <w:lang w:val="hr-BA"/>
        </w:rPr>
        <w:t>Zborniku stručnih radova Alkohološkog glasnika – Priručnik, Z</w:t>
      </w:r>
      <w:r>
        <w:rPr>
          <w:lang w:val="hr-BA"/>
        </w:rPr>
        <w:t>agreb, 2003. godina.</w:t>
      </w:r>
    </w:p>
  </w:footnote>
  <w:footnote w:id="8">
    <w:p>
      <w:pPr>
        <w:pStyle w:val="Fusnota"/>
        <w:jc w:val="both"/>
        <w:rPr/>
      </w:pPr>
      <w:r>
        <w:rPr>
          <w:rStyle w:val="Znakovifusnota"/>
        </w:rPr>
        <w:footnoteRef/>
      </w:r>
      <w:r>
        <w:rPr>
          <w:lang w:val="hr-BA"/>
        </w:rPr>
        <w:t xml:space="preserve"> </w:t>
      </w:r>
      <w:r>
        <w:rPr>
          <w:lang w:val="hr-BA"/>
        </w:rPr>
        <w:t>Vidjeti više u Pavišić B. Metodika istraživanja prometnih delikata, Zagreb, Ministarstvo unutarnjih poslova Republike Hrvatske, Sektor za odnose s javnošću i izdavačku djelatnost.</w:t>
      </w:r>
    </w:p>
  </w:footnote>
  <w:footnote w:id="9">
    <w:p>
      <w:pPr>
        <w:pStyle w:val="Fusnota"/>
        <w:jc w:val="both"/>
        <w:rPr/>
      </w:pPr>
      <w:r>
        <w:rPr>
          <w:rStyle w:val="Znakovifusnota"/>
        </w:rPr>
        <w:footnoteRef/>
      </w:r>
      <w:r>
        <w:rPr>
          <w:lang w:val="hr-BA"/>
        </w:rPr>
        <w:t xml:space="preserve"> </w:t>
      </w:r>
      <w:r>
        <w:rPr>
          <w:iCs/>
          <w:szCs w:val="24"/>
          <w:lang w:val="hr-BA"/>
        </w:rPr>
        <w:t>Vujanić Milan i dr. Priručnik za saobraćajno – tehničko vještačenje i procjene šteta na vozilima, Banja Luka, 2000. godina, str. 31.</w:t>
      </w:r>
    </w:p>
  </w:footnote>
  <w:footnote w:id="10">
    <w:p>
      <w:pPr>
        <w:pStyle w:val="Fusnota"/>
        <w:rPr/>
      </w:pPr>
      <w:r>
        <w:rPr>
          <w:rStyle w:val="Znakovifusnota"/>
        </w:rPr>
        <w:footnoteRef/>
      </w:r>
      <w:r>
        <w:rPr/>
        <w:t xml:space="preserve"> </w:t>
      </w:r>
      <w:r>
        <w:rPr>
          <w:lang w:val="hr-BA"/>
        </w:rPr>
        <w:t>Službeni glasnik Bosne i Hercegovine br. 16/07.</w:t>
      </w:r>
    </w:p>
  </w:footnote>
  <w:footnote w:id="11">
    <w:p>
      <w:pPr>
        <w:pStyle w:val="Fusnota"/>
        <w:jc w:val="both"/>
        <w:rPr/>
      </w:pPr>
      <w:r>
        <w:rPr>
          <w:rStyle w:val="Znakovifusnota"/>
        </w:rPr>
        <w:footnoteRef/>
      </w:r>
      <w:r>
        <w:rPr/>
        <w:t xml:space="preserve"> </w:t>
      </w:r>
      <w:r>
        <w:rPr>
          <w:lang w:val="hr-BA"/>
        </w:rPr>
        <w:t>Slično i u odluci Vrhovnog suda Federacije Bosne i Hercegovine broj: 02 0 K 000656 14 Kž od 27.02.2014. godine.</w:t>
      </w:r>
    </w:p>
  </w:footnote>
  <w:footnote w:id="12">
    <w:p>
      <w:pPr>
        <w:pStyle w:val="Fusnota"/>
        <w:jc w:val="both"/>
        <w:rPr/>
      </w:pPr>
      <w:r>
        <w:rPr>
          <w:rStyle w:val="Znakovifusnota"/>
        </w:rPr>
        <w:footnoteRef/>
      </w:r>
      <w:r>
        <w:rPr/>
        <w:t xml:space="preserve"> </w:t>
      </w:r>
      <w:r>
        <w:rPr>
          <w:lang w:val="hr-BA"/>
        </w:rPr>
        <w:t>Tako i Vrhovni sud Federacije Bosne i Hercegovine u odluci broj: 10 0 K 001833 12 Kž od 14.02.2013. godine.</w:t>
      </w:r>
    </w:p>
  </w:footnote>
  <w:footnote w:id="13">
    <w:p>
      <w:pPr>
        <w:pStyle w:val="Fusnota"/>
        <w:jc w:val="both"/>
        <w:rPr>
          <w:lang w:val="hr-BA"/>
        </w:rPr>
      </w:pPr>
      <w:r>
        <w:rPr>
          <w:rStyle w:val="Znakovifusnota"/>
        </w:rPr>
        <w:footnoteRef/>
      </w:r>
      <w:r>
        <w:rPr/>
        <w:t xml:space="preserve"> </w:t>
      </w:r>
      <w:r>
        <w:rPr/>
        <w:t xml:space="preserve">Slično i </w:t>
      </w:r>
      <w:r>
        <w:rPr>
          <w:lang w:val="hr-BA"/>
        </w:rPr>
        <w:t>Vrhovni sud Federacije Bosne i Hercegovine u odluci broj: 08 0 K 001873 14 Kž od 06.03.2014. godine.</w:t>
      </w:r>
    </w:p>
    <w:p>
      <w:pPr>
        <w:pStyle w:val="Fusnota"/>
        <w:rPr/>
      </w:pPr>
      <w:r>
        <w:rPr/>
      </w:r>
    </w:p>
  </w:footnote>
</w:footnotes>
</file>

<file path=word/settings.xml><?xml version="1.0" encoding="utf-8"?>
<w:settings xmlns:w="http://schemas.openxmlformats.org/wordprocessingml/2006/main">
  <w:zoom w:percent="13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34135"/>
    <w:pPr>
      <w:widowControl/>
      <w:bidi w:val="0"/>
      <w:spacing w:before="0" w:after="0"/>
      <w:jc w:val="both"/>
    </w:pPr>
    <w:rPr>
      <w:rFonts w:ascii="Times New Roman" w:hAnsi="Times New Roman" w:eastAsia="Calibri" w:cs="" w:cstheme="minorBidi" w:eastAsiaTheme="minorHAnsi"/>
      <w:color w:val="auto"/>
      <w:kern w:val="0"/>
      <w:sz w:val="24"/>
      <w:szCs w:val="22"/>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534135"/>
    <w:rPr>
      <w:rFonts w:eastAsia="Times New Roman" w:cs="Times New Roman"/>
      <w:sz w:val="20"/>
      <w:szCs w:val="20"/>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534135"/>
    <w:rPr>
      <w:vertAlign w:val="superscript"/>
    </w:rPr>
  </w:style>
  <w:style w:type="character" w:styleId="ZaglavljeChar" w:customStyle="1">
    <w:name w:val="Zaglavlje Char"/>
    <w:basedOn w:val="DefaultParagraphFont"/>
    <w:link w:val="Zaglavlje"/>
    <w:uiPriority w:val="99"/>
    <w:qFormat/>
    <w:rsid w:val="00534135"/>
    <w:rPr/>
  </w:style>
  <w:style w:type="character" w:styleId="PodnojeChar" w:customStyle="1">
    <w:name w:val="Podnožje Char"/>
    <w:basedOn w:val="DefaultParagraphFont"/>
    <w:link w:val="Podnoje"/>
    <w:uiPriority w:val="99"/>
    <w:qFormat/>
    <w:rsid w:val="00534135"/>
    <w:rPr/>
  </w:style>
  <w:style w:type="character" w:styleId="Tijeloteksta2Char" w:customStyle="1">
    <w:name w:val="Tijelo teksta 2 Char"/>
    <w:basedOn w:val="DefaultParagraphFont"/>
    <w:link w:val="Tijeloteksta2"/>
    <w:qFormat/>
    <w:rsid w:val="00ac0ce5"/>
    <w:rPr>
      <w:rFonts w:eastAsia="Times New Roman" w:cs="Times New Roman"/>
      <w:b/>
      <w:bCs/>
      <w:szCs w:val="24"/>
      <w:lang w:val="hr-HR" w:eastAsia="hr-HR"/>
    </w:rPr>
  </w:style>
  <w:style w:type="character" w:styleId="TijelotekstaChar" w:customStyle="1">
    <w:name w:val="Tijelo teksta Char"/>
    <w:basedOn w:val="DefaultParagraphFont"/>
    <w:link w:val="Tijeloteksta"/>
    <w:uiPriority w:val="99"/>
    <w:semiHidden/>
    <w:qFormat/>
    <w:rsid w:val="006234b6"/>
    <w:rPr/>
  </w:style>
  <w:style w:type="character" w:styleId="UvuenotijelotekstaChar" w:customStyle="1">
    <w:name w:val="Uvučeno tijelo teksta Char"/>
    <w:basedOn w:val="DefaultParagraphFont"/>
    <w:link w:val="Uvuenotijeloteksta"/>
    <w:uiPriority w:val="99"/>
    <w:semiHidden/>
    <w:qFormat/>
    <w:rsid w:val="006234b6"/>
    <w:rPr>
      <w:rFonts w:eastAsia="Times New Roman" w:cs="Times New Roman"/>
      <w:szCs w:val="24"/>
    </w:rPr>
  </w:style>
  <w:style w:type="character" w:styleId="TekstbaloniaChar" w:customStyle="1">
    <w:name w:val="Tekst balončića Char"/>
    <w:basedOn w:val="DefaultParagraphFont"/>
    <w:link w:val="Tekstbalonia"/>
    <w:uiPriority w:val="99"/>
    <w:semiHidden/>
    <w:qFormat/>
    <w:rsid w:val="00a24947"/>
    <w:rPr>
      <w:rFonts w:ascii="Segoe UI" w:hAnsi="Segoe UI" w:cs="Segoe UI"/>
      <w:sz w:val="18"/>
      <w:szCs w:val="18"/>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link w:val="TijelotekstaChar"/>
    <w:uiPriority w:val="99"/>
    <w:semiHidden/>
    <w:unhideWhenUsed/>
    <w:rsid w:val="006234b6"/>
    <w:pPr>
      <w:spacing w:before="0" w:after="12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534135"/>
    <w:pPr>
      <w:jc w:val="left"/>
    </w:pPr>
    <w:rPr>
      <w:rFonts w:eastAsia="Times New Roman" w:cs="Times New Roman"/>
      <w:sz w:val="20"/>
      <w:szCs w:val="20"/>
    </w:rPr>
  </w:style>
  <w:style w:type="paragraph" w:styleId="ListParagraph">
    <w:name w:val="List Paragraph"/>
    <w:basedOn w:val="Normal"/>
    <w:uiPriority w:val="34"/>
    <w:qFormat/>
    <w:rsid w:val="00534135"/>
    <w:pPr>
      <w:spacing w:before="0" w:after="0"/>
      <w:ind w:left="720" w:hanging="0"/>
      <w:contextualSpacing/>
      <w:jc w:val="left"/>
    </w:pPr>
    <w:rPr>
      <w:rFonts w:eastAsia="Times New Roman" w:cs="Times New Roman"/>
      <w:szCs w:val="24"/>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534135"/>
    <w:pPr>
      <w:tabs>
        <w:tab w:val="clear" w:pos="720"/>
        <w:tab w:val="center" w:pos="4680" w:leader="none"/>
        <w:tab w:val="right" w:pos="9360" w:leader="none"/>
      </w:tabs>
    </w:pPr>
    <w:rPr/>
  </w:style>
  <w:style w:type="paragraph" w:styleId="Podnoje">
    <w:name w:val="Footer"/>
    <w:basedOn w:val="Normal"/>
    <w:link w:val="PodnojeChar"/>
    <w:uiPriority w:val="99"/>
    <w:unhideWhenUsed/>
    <w:rsid w:val="00534135"/>
    <w:pPr>
      <w:tabs>
        <w:tab w:val="clear" w:pos="720"/>
        <w:tab w:val="center" w:pos="4680" w:leader="none"/>
        <w:tab w:val="right" w:pos="9360" w:leader="none"/>
      </w:tabs>
    </w:pPr>
    <w:rPr/>
  </w:style>
  <w:style w:type="paragraph" w:styleId="BodyText2">
    <w:name w:val="Body Text 2"/>
    <w:basedOn w:val="Normal"/>
    <w:link w:val="Tijeloteksta2Char"/>
    <w:qFormat/>
    <w:rsid w:val="00ac0ce5"/>
    <w:pPr>
      <w:jc w:val="left"/>
    </w:pPr>
    <w:rPr>
      <w:rFonts w:eastAsia="Times New Roman" w:cs="Times New Roman"/>
      <w:b/>
      <w:bCs/>
      <w:szCs w:val="24"/>
      <w:lang w:val="hr-HR" w:eastAsia="hr-HR"/>
    </w:rPr>
  </w:style>
  <w:style w:type="paragraph" w:styleId="Uvlakatijelateksta">
    <w:name w:val="Body Text Indent"/>
    <w:basedOn w:val="Normal"/>
    <w:link w:val="UvuenotijelotekstaChar"/>
    <w:uiPriority w:val="99"/>
    <w:semiHidden/>
    <w:unhideWhenUsed/>
    <w:rsid w:val="006234b6"/>
    <w:pPr>
      <w:spacing w:before="0" w:after="120"/>
      <w:ind w:left="283" w:hanging="0"/>
      <w:jc w:val="left"/>
    </w:pPr>
    <w:rPr>
      <w:rFonts w:eastAsia="Times New Roman" w:cs="Times New Roman"/>
      <w:szCs w:val="24"/>
    </w:rPr>
  </w:style>
  <w:style w:type="paragraph" w:styleId="BalloonText">
    <w:name w:val="Balloon Text"/>
    <w:basedOn w:val="Normal"/>
    <w:link w:val="TekstbaloniaChar"/>
    <w:uiPriority w:val="99"/>
    <w:semiHidden/>
    <w:unhideWhenUsed/>
    <w:qFormat/>
    <w:rsid w:val="00a24947"/>
    <w:pPr/>
    <w:rPr>
      <w:rFonts w:ascii="Segoe UI" w:hAnsi="Segoe UI" w:cs="Segoe UI"/>
      <w:sz w:val="18"/>
      <w:szCs w:val="18"/>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6BCA0-8900-412F-B8FE-F01A79B1A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Application>LibreOffice/6.3.4.2$Windows_X86_64 LibreOffice_project/60da17e045e08f1793c57c00ba83cdfce946d0aa</Application>
  <Pages>16</Pages>
  <Words>8554</Words>
  <Characters>46793</Characters>
  <CharactersWithSpaces>55420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2022-07-12T04:44:00Z</dcterms:created>
  <dc:creator>Katica Artukovic</dc:creator>
  <dc:description/>
  <dc:language>bs-BA</dc:language>
  <cp:lastModifiedBy/>
  <cp:lastPrinted>2021-12-23T09:05:00Z</cp:lastPrinted>
  <dcterms:modified xsi:type="dcterms:W3CDTF">2022-07-14T08:54:28Z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