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BOSNA I HERCEGOVINA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FEDERACIJA BOSNE I HERCEGOVINE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ŽUPANIJA ZAPADNOHERCEGOVAČKA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ŽUPANIJSKI SUD ŠIROKI BRIJEG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 xml:space="preserve">Broj: </w:t>
      </w:r>
      <w:bookmarkStart w:id="0" w:name="__DdeLink__230_2263580520"/>
      <w:r>
        <w:rPr>
          <w:b/>
          <w:lang w:val="hr-BA"/>
        </w:rPr>
        <w:t>64 0 Pr 051736 21 Pžp</w:t>
      </w:r>
      <w:bookmarkEnd w:id="0"/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Široki Brijeg, 28.06.2022. godine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20"/>
        <w:jc w:val="both"/>
        <w:rPr>
          <w:lang w:val="hr-BA"/>
        </w:rPr>
      </w:pPr>
      <w:r>
        <w:rPr>
          <w:lang w:val="hr-BA"/>
        </w:rPr>
      </w:r>
    </w:p>
    <w:p>
      <w:pPr>
        <w:pStyle w:val="Standard"/>
        <w:ind w:firstLine="708"/>
        <w:jc w:val="both"/>
        <w:rPr/>
      </w:pPr>
      <w:r>
        <w:rPr/>
        <w:t>Županijski sud Široki Brijeg, postupajući u cvijeću sastavljenom od sutkinje Katice Artuković kao predsjednice vijeća te sudaca Bosiljke Rudeš i Mile Zeljke kao članova vijeća, uz sudjelovanje Slađane Cvitanović kao zapisničarke, u prekršajnom postupku protiv okrivljene pravne osobe STRIPS d.o.o. Posušje, zbog prekršaja iz članka 4 Zakona o radu Županije Zapadnohercegovačke</w:t>
      </w:r>
      <w:r>
        <w:rPr>
          <w:rStyle w:val="Sidrofusnote"/>
        </w:rPr>
        <w:footnoteReference w:id="2"/>
      </w:r>
      <w:r>
        <w:rPr/>
        <w:t xml:space="preserve">, odlučujući o žalbi okrivljene pravne osobe, izjavljenoj na Rješenje Općinskog suda u Širokom Brijegu broj: 64 0 Pr 051736 19 Pr od 12.02.2021. godine, na sjednici vijeća održanoj dana 28.06.2022. godine, donio je </w:t>
      </w:r>
    </w:p>
    <w:p>
      <w:pPr>
        <w:pStyle w:val="Normal"/>
        <w:rPr>
          <w:lang w:val="hr-BA"/>
        </w:rPr>
      </w:pPr>
      <w:r>
        <w:rPr>
          <w:lang w:val="hr-BA"/>
        </w:rPr>
      </w:r>
    </w:p>
    <w:p>
      <w:pPr>
        <w:pStyle w:val="Standard"/>
        <w:jc w:val="center"/>
        <w:rPr/>
      </w:pPr>
      <w:r>
        <w:rPr>
          <w:b/>
        </w:rPr>
        <w:t>R  J  E  Š  E  N  J  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Žalba okrivljene pravne osobe STRIPS d.o.o. Posušje SE ODBIJA, a Rješenje Općinskog suda u Širokom Brijegu broj: 64 0 Pr 051736 19 Pr od 12.02.2021. godine SE POTVRĐUJE.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  <w:t xml:space="preserve">   </w:t>
      </w:r>
      <w:r>
        <w:rPr>
          <w:b/>
          <w:spacing w:val="162"/>
          <w:lang w:val="hr-BA"/>
        </w:rPr>
        <w:t>Obrazloženje</w:t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>Rješenjem Općinskog suda u Širokom Brijegu broj: 64 0 Pr 051736 19 Pr od 12.02.2021. godine (u daljnjem tekstu: prvostupanjsko rješenje), oglašena je odgovornom okrivljena pravna osoba STRIPS d.o.o. Posušje (u daljnjem tekstu: okrivljena), zbog prekršaja iz članka 4 Zakona o radu Županije Zapadnohercegovačke, te joj je izrečena novčana kazna u iznosu od 5.000,00 KM, uz obvezu plaćanja troškova prekršajnog postupka u paušalnom iznosu od 20,00 KM.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 xml:space="preserve">Na prvostupanjsko rješenje, žalbu je izjavila okrivljena pravna osoba zbog povrede odredbi Zakona o </w:t>
      </w:r>
      <w:r>
        <w:rPr>
          <w:lang w:val="hr-BA" w:eastAsia="hr-BA"/>
        </w:rPr>
        <w:t xml:space="preserve">prekršajima </w:t>
      </w:r>
      <w:r>
        <w:rPr>
          <w:lang w:val="hr-BA"/>
        </w:rPr>
        <w:t>Federacije Bosne i Hercegovine</w:t>
      </w:r>
      <w:r>
        <w:rPr>
          <w:rStyle w:val="FootnoteCharacters"/>
          <w:lang w:val="hr-BA" w:eastAsia="hr-BA"/>
        </w:rPr>
        <w:t xml:space="preserve"> </w:t>
      </w:r>
      <w:r>
        <w:rPr>
          <w:rStyle w:val="Sidrofusnote"/>
          <w:lang w:val="hr-BA" w:eastAsia="hr-BA"/>
        </w:rPr>
        <w:footnoteReference w:id="3"/>
      </w:r>
      <w:r>
        <w:rPr>
          <w:rStyle w:val="FootnoteCharacters"/>
          <w:lang w:val="hr-BA" w:eastAsia="hr-BA"/>
        </w:rPr>
        <w:t xml:space="preserve"> </w:t>
      </w:r>
      <w:r>
        <w:rPr>
          <w:lang w:val="hr-BA" w:eastAsia="hr-BA"/>
        </w:rPr>
        <w:t xml:space="preserve">(u daljnjem tekstu: Zakon o prekršajima), konkretno zbog odluke o prekršajnoj sankciji, </w:t>
      </w:r>
      <w:r>
        <w:rPr>
          <w:lang w:val="hr-BA"/>
        </w:rPr>
        <w:t>predlažući da joj se izrekne blaža novčana kazna ili uvjetna osuda, cijeneći da će se i takvim sankcijama ostvariti svrha kažnjavanja.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Mjerodavno tijelo Uprava za inspekcijske poslove Županije Zapadnohercegovačke (u daljnjem tekstu: mjerodavno tijelo) nije podnijelo odgovor na žalbu.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Žalba nije utemeljena.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iCs/>
          <w:lang w:val="hr-BA"/>
        </w:rPr>
      </w:pPr>
      <w:r>
        <w:rPr>
          <w:lang w:val="hr-BA"/>
        </w:rPr>
        <w:tab/>
        <w:t>Detaljnije stavove mjerodavnog tijela i okrivljene, sud će iznijeti u nastavku obrazloženja, međutim, obzirom da je intencija članka 6 stavak 1 Europske konvencije o ljudskim pravima i temeljnim slobodama</w:t>
      </w:r>
      <w:r>
        <w:rPr>
          <w:rStyle w:val="Sidrofusnote"/>
          <w:lang w:val="hr-BA"/>
        </w:rPr>
        <w:footnoteReference w:id="4"/>
      </w:r>
      <w:r>
        <w:rPr>
          <w:lang w:val="hr-BA"/>
        </w:rPr>
        <w:t xml:space="preserve"> (između ostalog) i da se ispitaju samo oni izloženi argumenti koje sud smatra relevantnim, a ne svi argumenti koji su izloženi, to je ovaj sud uzeo u obzir sve argumente iz svih izvedenih dokaza, te ih cijenio, a razloge iznosio u odnosu na one argumente i činjenice koji su relevantni i od značaja za odluku u konkretnoj prekršajnoj stvari</w:t>
      </w:r>
      <w:r>
        <w:rPr>
          <w:rStyle w:val="Sidrofusnote"/>
          <w:lang w:val="hr-BA"/>
        </w:rPr>
        <w:footnoteReference w:id="5"/>
      </w:r>
      <w:r>
        <w:rPr>
          <w:iCs/>
          <w:lang w:val="hr-BA"/>
        </w:rPr>
        <w:t>.</w:t>
      </w:r>
    </w:p>
    <w:p>
      <w:pPr>
        <w:pStyle w:val="Normal"/>
        <w:rPr>
          <w:rFonts w:eastAsia="Calibri"/>
          <w:lang w:val="hr-BA"/>
        </w:rPr>
      </w:pPr>
      <w:r>
        <w:rPr>
          <w:rFonts w:eastAsia="Calibri"/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S tim u vezi, nakon što je ovaj sud ispitao prvostupanjsko rješenje, u okviru žalbenih navoda, odlučio je kao u izreci iz slijedećih razloga.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Nisu osnovani žalbeni navodi u pogledu odluke o izrečenoj novčanoj kazni, koja je po stajalištima okrivljene prestrogo odmjerena.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Naime, odredbom članka 22 stavak 3 </w:t>
      </w:r>
      <w:r>
        <w:rPr>
          <w:lang w:val="hr-BA" w:eastAsia="hr-BA"/>
        </w:rPr>
        <w:t>Zakona o prekršajima</w:t>
      </w:r>
      <w:r>
        <w:rPr>
          <w:lang w:val="hr-BA"/>
        </w:rPr>
        <w:t xml:space="preserve">, jasno je propisano (u relevantnom dijelu) da će sud visinu kazne odrediti uzimajući u obzir sve olakšavajuće i otežavajuće okolnosti, ali ne ograničavajući se na težinu prekršaja i njegove posljedice, stupanj odgovornosti okrivljenika, uvid u evidenciju o njegovim prethodnim prekršajima, njegovu financijsku situaciju kao i je li iskazao kajanje, što je prvostupanjski sud upravo i učinio.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b/>
          <w:b/>
          <w:i/>
          <w:i/>
          <w:u w:val="single"/>
          <w:lang w:val="hr-BA"/>
        </w:rPr>
      </w:pPr>
      <w:r>
        <w:rPr>
          <w:lang w:val="hr-BA"/>
        </w:rPr>
        <w:t>Za napomenuti je riječ o ponovljenom prekršaju, čime je okrivljena nesporno zaslužila novčanu kaznu u i</w:t>
      </w:r>
      <w:bookmarkStart w:id="1" w:name="_GoBack"/>
      <w:bookmarkEnd w:id="1"/>
      <w:r>
        <w:rPr>
          <w:lang w:val="hr-BA"/>
        </w:rPr>
        <w:t xml:space="preserve">znosu od 5.000,00 KM, koja će i po uvjerenju ovog suda ostvariti svrhu generalne i specijalne prevencije, </w:t>
      </w:r>
      <w:r>
        <w:rPr>
          <w:b/>
          <w:i/>
          <w:u w:val="single"/>
          <w:lang w:val="hr-BA"/>
        </w:rPr>
        <w:t>uz napomenu da je riječ o zakonom propisanoj minimalnoj novčanoj kazni za ponovljeni prekršaj.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Shodno prednjem, sukladno odredbama članka 90 Zakona o prekršajima, valjalo je odlučiti kao u izreci, tj. odbiti žalbu okrivljene i potvrditi prvostupanjsko rješenje, obzirom da, po ocjeni ovog suda, prvostupanjski sud nije počinio povrede na koje ukazuje žalba.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ind w:left="708" w:firstLine="708"/>
        <w:rPr>
          <w:b/>
          <w:b/>
          <w:lang w:val="hr-BA"/>
        </w:rPr>
      </w:pPr>
      <w:r>
        <w:rPr>
          <w:b/>
          <w:lang w:val="hr-BA"/>
        </w:rPr>
        <w:t xml:space="preserve">   </w:t>
      </w:r>
      <w:r>
        <w:rPr>
          <w:b/>
          <w:lang w:val="hr-BA"/>
        </w:rPr>
        <w:tab/>
        <w:tab/>
        <w:tab/>
        <w:tab/>
        <w:tab/>
        <w:t xml:space="preserve">     </w:t>
        <w:tab/>
        <w:t xml:space="preserve">    PREDSJEDNICA VIJEĆA 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</w:r>
    </w:p>
    <w:p>
      <w:pPr>
        <w:pStyle w:val="Normal"/>
        <w:ind w:left="4956" w:firstLine="708"/>
        <w:rPr/>
      </w:pPr>
      <w:r>
        <w:rPr>
          <w:b/>
          <w:lang w:val="hr-BA"/>
        </w:rPr>
        <w:t xml:space="preserve">     </w:t>
      </w:r>
      <w:r>
        <w:rPr>
          <w:b/>
          <w:lang w:val="hr-BA"/>
        </w:rPr>
        <w:tab/>
        <w:t xml:space="preserve"> Katica Artuković</w:t>
      </w:r>
    </w:p>
    <w:sectPr>
      <w:footerReference w:type="default" r:id="rId2"/>
      <w:footnotePr>
        <w:numFmt w:val="decimal"/>
      </w:footnotePr>
      <w:type w:val="nextPage"/>
      <w:pgSz w:w="11906" w:h="16838"/>
      <w:pgMar w:left="1440" w:right="1440" w:header="0" w:top="1440" w:footer="708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odnoje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 wp14:anchorId="4354CFB3">
              <wp:simplePos x="0" y="0"/>
              <wp:positionH relativeFrom="rightMargin">
                <wp:align>center</wp:align>
              </wp:positionH>
              <wp:positionV relativeFrom="paragraph">
                <wp:align>center</wp:align>
              </wp:positionV>
              <wp:extent cx="566420" cy="192405"/>
              <wp:effectExtent l="0" t="0" r="0" b="0"/>
              <wp:wrapNone/>
              <wp:docPr id="1" name="Pravokutnik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 rot="10800000">
                        <a:off x="0" y="0"/>
                        <a:ext cx="565920" cy="191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1713307088"/>
                          </w:sdtPr>
                          <w:sdtContent>
                            <w:p>
                              <w:pPr>
                                <w:pStyle w:val="Sadrajokvira"/>
                                <w:pBdr>
                                  <w:top w:val="single" w:sz="4" w:space="1" w:color="7F7F7F"/>
                                </w:pBdr>
                                <w:jc w:val="center"/>
                                <w:rPr/>
                              </w:pPr>
                              <w:r>
                                <w:rPr>
                                  <w:color w:val="ED7D31" w:themeColor="accent2"/>
                                </w:rPr>
                                <w:fldChar w:fldCharType="begin"/>
                              </w:r>
                              <w:r>
                                <w:rPr/>
                                <w:instrText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1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ravokutnik 1" stroked="f" style="position:absolute;margin-left:13.7pt;margin-top:-0.65pt;width:44.5pt;height:15.05pt;flip:x;rotation:180;mso-position-horizontal:center;mso-position-horizontal-relative:page;mso-position-vertical:center" wp14:anchorId="4354CFB3">
              <w10:wrap type="square"/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333140433"/>
                    </w:sdtPr>
                    <w:sdtContent>
                      <w:p>
                        <w:pPr>
                          <w:pStyle w:val="Sadrajokvira"/>
                          <w:pBdr>
                            <w:top w:val="single" w:sz="4" w:space="1" w:color="7F7F7F"/>
                          </w:pBdr>
                          <w:jc w:val="center"/>
                          <w:rPr/>
                        </w:pPr>
                        <w:r>
                          <w:rPr>
                            <w:color w:val="ED7D31" w:themeColor="accent2"/>
                          </w:rPr>
                          <w:fldChar w:fldCharType="begin"/>
                        </w:r>
                        <w:r>
                          <w:rPr/>
                          <w:instrText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1</w:t>
                        </w:r>
                        <w:r>
                          <w:rPr/>
                          <w:fldChar w:fldCharType="end"/>
                        </w:r>
                      </w:p>
                    </w:sdtContent>
                  </w:sdt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Narodne novine Županije Zapadnohercegovačke broj: 11/17.</w:t>
      </w:r>
    </w:p>
  </w:footnote>
  <w:footnote w:id="3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Službene novine Federacije BiH broj: 63/14.</w:t>
      </w:r>
    </w:p>
  </w:footnote>
  <w:footnote w:id="4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Objavljena u Službenom glasniku BiH broj: 6/99.</w:t>
      </w:r>
    </w:p>
  </w:footnote>
  <w:footnote w:id="5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Vidjeti više u Odluci o dopustivosti i meritumu Ustavnog suda Bosne i Hercegovine broj AP 2752/16 od 17.01.2018. godine i Presudi Vrhovnog suda Federacije Bosne i Hercegovine b</w:t>
      </w:r>
      <w:r>
        <w:rPr>
          <w:bCs/>
          <w:iCs/>
          <w:lang w:val="hr-BA"/>
        </w:rPr>
        <w:t xml:space="preserve">roj: </w:t>
      </w:r>
      <w:r>
        <w:rPr>
          <w:lang w:val="hr-BA"/>
        </w:rPr>
        <w:t>02 0 K 000403 12 Kžk</w:t>
      </w:r>
      <w:r>
        <w:rPr>
          <w:bCs/>
          <w:iCs/>
          <w:lang w:val="hr-BA"/>
        </w:rPr>
        <w:t xml:space="preserve"> od </w:t>
      </w:r>
      <w:r>
        <w:rPr>
          <w:iCs/>
          <w:lang w:val="hr-BA"/>
        </w:rPr>
        <w:t>08.03.2012. godine.</w:t>
      </w:r>
    </w:p>
  </w:footnote>
</w:footnotes>
</file>

<file path=word/settings.xml><?xml version="1.0" encoding="utf-8"?>
<w:settings xmlns:w="http://schemas.openxmlformats.org/wordprocessingml/2006/main">
  <w:zoom w:percent="140"/>
  <w:defaultTabStop w:val="708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hr-BA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hr-B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f1bc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fusnoteChar" w:customStyle="1">
    <w:name w:val="Tekst fusnote Char"/>
    <w:basedOn w:val="DefaultParagraphFont"/>
    <w:link w:val="Tekstfusnote"/>
    <w:uiPriority w:val="99"/>
    <w:qFormat/>
    <w:rsid w:val="005f1bc4"/>
    <w:rPr>
      <w:rFonts w:ascii="Times New Roman" w:hAnsi="Times New Roman" w:eastAsia="Calibri" w:cs="Times New Roman"/>
      <w:sz w:val="20"/>
      <w:szCs w:val="20"/>
      <w:lang w:val="en-US"/>
    </w:rPr>
  </w:style>
  <w:style w:type="character" w:styleId="Sidrofusnote">
    <w:name w:val="Sidro fusnot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5f1bc4"/>
    <w:rPr>
      <w:vertAlign w:val="superscript"/>
    </w:rPr>
  </w:style>
  <w:style w:type="character" w:styleId="ZaglavljeChar" w:customStyle="1">
    <w:name w:val="Zaglavlje Char"/>
    <w:basedOn w:val="DefaultParagraphFont"/>
    <w:link w:val="Zaglavl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PodnojeChar" w:customStyle="1">
    <w:name w:val="Podnožje Char"/>
    <w:basedOn w:val="DefaultParagraphFont"/>
    <w:link w:val="Podno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f11645"/>
    <w:rPr>
      <w:rFonts w:ascii="Segoe UI" w:hAnsi="Segoe UI" w:eastAsia="Times New Roman" w:cs="Segoe UI"/>
      <w:sz w:val="18"/>
      <w:szCs w:val="18"/>
      <w:lang w:val="en-US"/>
    </w:rPr>
  </w:style>
  <w:style w:type="character" w:styleId="Znakovifusnota">
    <w:name w:val="Znakovi fusnota"/>
    <w:qFormat/>
    <w:rPr/>
  </w:style>
  <w:style w:type="character" w:styleId="Sidrozavrnebiljeke">
    <w:name w:val="Sidro završne bilješke"/>
    <w:rPr>
      <w:vertAlign w:val="superscript"/>
    </w:rPr>
  </w:style>
  <w:style w:type="character" w:styleId="Znakovizavrnihbiljeki">
    <w:name w:val="Znakovi završnih bilješki"/>
    <w:qFormat/>
    <w:rPr/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Popis">
    <w:name w:val="List"/>
    <w:basedOn w:val="Tijeloteksta"/>
    <w:pPr/>
    <w:rPr>
      <w:rFonts w:ascii="Times New Roman" w:hAnsi="Times New Roman" w:cs="Arial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Arial"/>
    </w:rPr>
  </w:style>
  <w:style w:type="paragraph" w:styleId="Fusnota">
    <w:name w:val="Footnote Text"/>
    <w:basedOn w:val="Normal"/>
    <w:link w:val="TekstfusnoteChar"/>
    <w:uiPriority w:val="99"/>
    <w:unhideWhenUsed/>
    <w:rsid w:val="005f1bc4"/>
    <w:pPr>
      <w:jc w:val="both"/>
    </w:pPr>
    <w:rPr>
      <w:rFonts w:eastAsia="Calibri"/>
      <w:sz w:val="20"/>
      <w:szCs w:val="20"/>
    </w:rPr>
  </w:style>
  <w:style w:type="paragraph" w:styleId="ListParagraph">
    <w:name w:val="List Paragraph"/>
    <w:basedOn w:val="Normal"/>
    <w:uiPriority w:val="34"/>
    <w:qFormat/>
    <w:rsid w:val="005f1bc4"/>
    <w:pPr>
      <w:spacing w:before="0" w:after="0"/>
      <w:ind w:left="720" w:hanging="0"/>
      <w:contextualSpacing/>
      <w:jc w:val="both"/>
    </w:pPr>
    <w:rPr>
      <w:rFonts w:eastAsia="Calibri"/>
      <w:szCs w:val="22"/>
    </w:rPr>
  </w:style>
  <w:style w:type="paragraph" w:styleId="Standard" w:customStyle="1">
    <w:name w:val="Standard"/>
    <w:uiPriority w:val="99"/>
    <w:qFormat/>
    <w:rsid w:val="005f1bc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游明朝" w:cs="Times New Roman" w:eastAsiaTheme="minorEastAsia"/>
      <w:color w:val="auto"/>
      <w:kern w:val="2"/>
      <w:sz w:val="24"/>
      <w:szCs w:val="24"/>
      <w:lang w:eastAsia="zh-CN" w:bidi="hi-IN" w:val="hr-BA"/>
    </w:rPr>
  </w:style>
  <w:style w:type="paragraph" w:styleId="Zaglavljeipodnoje">
    <w:name w:val="Zaglavlje i podnožje"/>
    <w:basedOn w:val="Normal"/>
    <w:qFormat/>
    <w:pPr/>
    <w:rPr/>
  </w:style>
  <w:style w:type="paragraph" w:styleId="Zaglavlje">
    <w:name w:val="Header"/>
    <w:basedOn w:val="Normal"/>
    <w:link w:val="Zaglavl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Podnoje">
    <w:name w:val="Footer"/>
    <w:basedOn w:val="Normal"/>
    <w:link w:val="Podno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f11645"/>
    <w:pPr/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7e7888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hr-HR" w:eastAsia="hr-HR" w:bidi="ar-SA"/>
    </w:rPr>
  </w:style>
  <w:style w:type="paragraph" w:styleId="Sadrajokvira">
    <w:name w:val="Sadržaj okvir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2FA44-BC73-4532-A99D-E5272640C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LibreOffice/6.3.4.2$Windows_X86_64 LibreOffice_project/60da17e045e08f1793c57c00ba83cdfce946d0aa</Application>
  <Pages>2</Pages>
  <Words>626</Words>
  <Characters>3576</Characters>
  <CharactersWithSpaces>4224</CharactersWithSpaces>
  <Paragraphs>28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2022-06-27T16:02:00Z</dcterms:created>
  <dc:creator>Katica Artukovic</dc:creator>
  <dc:description/>
  <dc:language>bs-BA</dc:language>
  <cp:lastModifiedBy>Katica Artukovic</cp:lastModifiedBy>
  <cp:lastPrinted>2022-06-28T05:09:00Z</cp:lastPrinted>
  <dcterms:modified xsi:type="dcterms:W3CDTF">2022-06-28T05:20:00Z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