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0E3" w:rsidRDefault="008C00E3" w:rsidP="008C00E3">
      <w:pPr>
        <w:jc w:val="center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BOSNA I HERCEGOVINA</w:t>
      </w:r>
    </w:p>
    <w:p w:rsidR="008C00E3" w:rsidRDefault="008C00E3" w:rsidP="008C00E3">
      <w:pPr>
        <w:jc w:val="center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FEDERACIJA BOSNE I HERCEGOVINE</w:t>
      </w:r>
    </w:p>
    <w:p w:rsidR="008C00E3" w:rsidRDefault="008C00E3" w:rsidP="008C00E3">
      <w:pPr>
        <w:jc w:val="center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HERCEGOVAČKO NERETVANSKI KANTON</w:t>
      </w:r>
    </w:p>
    <w:p w:rsidR="008C00E3" w:rsidRDefault="008C00E3" w:rsidP="008C00E3">
      <w:pPr>
        <w:jc w:val="center"/>
        <w:rPr>
          <w:b/>
          <w:bCs/>
          <w:sz w:val="28"/>
          <w:szCs w:val="28"/>
          <w:lang w:val="hr-BA"/>
        </w:rPr>
      </w:pPr>
      <w:r>
        <w:rPr>
          <w:b/>
          <w:bCs/>
          <w:sz w:val="28"/>
          <w:szCs w:val="28"/>
          <w:lang w:val="hr-BA"/>
        </w:rPr>
        <w:t>KANTONALNI/ŽUPANIJSKI SUD MOSTAR</w:t>
      </w:r>
    </w:p>
    <w:p w:rsidR="008C00E3" w:rsidRDefault="008C00E3" w:rsidP="008C00E3">
      <w:pPr>
        <w:rPr>
          <w:b/>
          <w:bCs/>
          <w:sz w:val="28"/>
          <w:szCs w:val="28"/>
          <w:lang w:val="hr-BA"/>
        </w:rPr>
      </w:pPr>
    </w:p>
    <w:p w:rsidR="008C00E3" w:rsidRDefault="008C00E3" w:rsidP="008C00E3">
      <w:pPr>
        <w:rPr>
          <w:b/>
          <w:bCs/>
          <w:sz w:val="28"/>
          <w:szCs w:val="28"/>
          <w:lang w:val="hr-BA"/>
        </w:rPr>
      </w:pPr>
      <w:r>
        <w:rPr>
          <w:b/>
          <w:bCs/>
          <w:sz w:val="28"/>
          <w:szCs w:val="28"/>
          <w:lang w:val="hr-BA"/>
        </w:rPr>
        <w:t xml:space="preserve">Poslovni broj: </w:t>
      </w:r>
      <w:r w:rsidRPr="006E0D29">
        <w:rPr>
          <w:b/>
          <w:bCs/>
          <w:lang w:val="hr-BA"/>
        </w:rPr>
        <w:t>07 0 Su 0</w:t>
      </w:r>
      <w:r w:rsidR="00E7557F">
        <w:rPr>
          <w:b/>
          <w:bCs/>
          <w:lang w:val="hr-BA"/>
        </w:rPr>
        <w:t>2053</w:t>
      </w:r>
      <w:r w:rsidR="006C3F4E">
        <w:rPr>
          <w:b/>
          <w:bCs/>
          <w:lang w:val="hr-BA"/>
        </w:rPr>
        <w:t>5</w:t>
      </w:r>
      <w:bookmarkStart w:id="0" w:name="_GoBack"/>
      <w:bookmarkEnd w:id="0"/>
      <w:r w:rsidRPr="006E0D29">
        <w:rPr>
          <w:b/>
          <w:bCs/>
          <w:lang w:val="hr-BA"/>
        </w:rPr>
        <w:t xml:space="preserve"> 2</w:t>
      </w:r>
      <w:r w:rsidR="00E7557F">
        <w:rPr>
          <w:b/>
          <w:bCs/>
          <w:lang w:val="hr-BA"/>
        </w:rPr>
        <w:t>2</w:t>
      </w:r>
      <w:r w:rsidRPr="006E0D29">
        <w:rPr>
          <w:b/>
          <w:bCs/>
          <w:lang w:val="hr-BA"/>
        </w:rPr>
        <w:t xml:space="preserve"> Su</w:t>
      </w:r>
    </w:p>
    <w:p w:rsidR="008C00E3" w:rsidRDefault="008C00E3" w:rsidP="008C00E3">
      <w:pPr>
        <w:rPr>
          <w:b/>
          <w:bCs/>
          <w:sz w:val="28"/>
          <w:szCs w:val="28"/>
          <w:lang w:val="hr-BA"/>
        </w:rPr>
      </w:pPr>
    </w:p>
    <w:p w:rsidR="008C00E3" w:rsidRDefault="008C00E3" w:rsidP="008C00E3">
      <w:pPr>
        <w:jc w:val="both"/>
        <w:rPr>
          <w:sz w:val="28"/>
          <w:szCs w:val="28"/>
          <w:lang w:val="hr-BA"/>
        </w:rPr>
      </w:pPr>
      <w:r>
        <w:rPr>
          <w:b/>
          <w:bCs/>
          <w:sz w:val="28"/>
          <w:szCs w:val="28"/>
          <w:lang w:val="hr-BA"/>
        </w:rPr>
        <w:t>        </w:t>
      </w:r>
      <w:r>
        <w:rPr>
          <w:sz w:val="28"/>
          <w:szCs w:val="28"/>
          <w:lang w:val="hr-BA"/>
        </w:rPr>
        <w:t>Predsjednik Kantonalnog/Županijskog suda Mostar, temeljem člana 8. stav 1. tačka f. Pravilnika o unutarnjem sudskom poslovanju i člana 31. stav 1. Zakona o sudovima u F BiH, donosi slijedeći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jc w:val="center"/>
        <w:rPr>
          <w:b/>
          <w:bCs/>
          <w:sz w:val="28"/>
          <w:szCs w:val="28"/>
          <w:lang w:val="hr-BA"/>
        </w:rPr>
      </w:pPr>
      <w:r>
        <w:rPr>
          <w:b/>
          <w:bCs/>
          <w:sz w:val="28"/>
          <w:szCs w:val="28"/>
          <w:lang w:val="hr-BA"/>
        </w:rPr>
        <w:t>PROGRAM RADA ZA 202</w:t>
      </w:r>
      <w:r w:rsidR="00F62475">
        <w:rPr>
          <w:b/>
          <w:bCs/>
          <w:sz w:val="28"/>
          <w:szCs w:val="28"/>
          <w:lang w:val="hr-BA"/>
        </w:rPr>
        <w:t>2</w:t>
      </w:r>
      <w:r>
        <w:rPr>
          <w:b/>
          <w:bCs/>
          <w:sz w:val="28"/>
          <w:szCs w:val="28"/>
          <w:lang w:val="hr-BA"/>
        </w:rPr>
        <w:t>. GODINU</w:t>
      </w:r>
    </w:p>
    <w:p w:rsidR="008C00E3" w:rsidRDefault="008C00E3" w:rsidP="008C00E3">
      <w:pPr>
        <w:jc w:val="center"/>
        <w:rPr>
          <w:b/>
          <w:bCs/>
          <w:sz w:val="28"/>
          <w:szCs w:val="28"/>
          <w:lang w:val="hr-BA"/>
        </w:rPr>
      </w:pPr>
    </w:p>
    <w:p w:rsidR="008C00E3" w:rsidRDefault="008C00E3" w:rsidP="008C00E3">
      <w:pPr>
        <w:jc w:val="both"/>
        <w:rPr>
          <w:b/>
          <w:bCs/>
          <w:sz w:val="28"/>
          <w:szCs w:val="28"/>
          <w:lang w:val="hr-BA"/>
        </w:rPr>
      </w:pPr>
      <w:r>
        <w:rPr>
          <w:b/>
          <w:bCs/>
          <w:sz w:val="28"/>
          <w:szCs w:val="28"/>
          <w:lang w:val="hr-BA"/>
        </w:rPr>
        <w:t>I – OPĆI DIO</w:t>
      </w:r>
    </w:p>
    <w:p w:rsidR="008C00E3" w:rsidRDefault="008C00E3" w:rsidP="008C00E3">
      <w:pPr>
        <w:jc w:val="both"/>
        <w:rPr>
          <w:b/>
          <w:bCs/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Sud će svoju programsku i zakonsku aktivnost obavljati na temelju svojih ovlasti i zaduženja iz Zakona o sudovima, Zakona o VSTV BiH, Pravilnika o unutarnjem sudskom poslovanju, Pravilnika o unutarnjoj organizaciji i sistematizaciji suda, Rasporeda poslova za 2022. godinu, te ovog programa rada za 2022. godinu.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Raspored sudaca na sudskom referatima je određen godišnjim  rasporedom poslova za 2022. godinu, gdje je akcenat dat na većem i efikasnijem rješavanju predmeta ratnih zločina, građanskih predmeta i predmeta upravnih sporova.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U 2022. godini sud ulazi  sa 18 sudaca, s tim što se očekuje imenovanja tri suca za koje je već raspisan natječaj u 2021.godini.. Izborom ova tri suca bi se  upotpunio broj sudaca, predviđen Pravilnikom o sistematizaciji poslova i radnih zadataka u sudu, to znači da bi  sud trebao raditi sa 20 sudaca i predsjednikom suda. Zavisno od zakonskih propisa vezanih za postupak prijema u rad pripravnika i volontera, sud će u skladu sa navedenim odlučiti i o njihovom prijemu na rad u ovaj sud, imajući u obzir da se prema postojećim aktima suda mogu angažirati dva sudska pripravnika i 6 volontera. 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Pr="00E7557F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Predsjednik suda će, nakon što se sumiraju rezultati rada na građanskom referatu za 2021. godinu, donijeti novi Plan rješavanja neriješenih predmeta na ovom referatu, a u skladu sa </w:t>
      </w:r>
      <w:proofErr w:type="spellStart"/>
      <w:r>
        <w:rPr>
          <w:sz w:val="28"/>
          <w:szCs w:val="28"/>
          <w:lang w:val="hr-BA"/>
        </w:rPr>
        <w:t>Upustvom</w:t>
      </w:r>
      <w:proofErr w:type="spellEnd"/>
      <w:r>
        <w:rPr>
          <w:sz w:val="28"/>
          <w:szCs w:val="28"/>
          <w:lang w:val="hr-BA"/>
        </w:rPr>
        <w:t xml:space="preserve"> za izradu Plana rješavanja predmeta prema starosti inicijalnog akta, koji predviđa donošenje kvartalnih planova.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lastRenderedPageBreak/>
        <w:t xml:space="preserve">U narednoj godini i nadalje treba rad predsjednika sudskih odjela postaviti na bitno drugačije osnove i povećati ulogu i djelokrug rada predsjednika Odjeljenja u procesu praćenja stanja na sudskim referatima odnosno njihovog odjela, izrade izvještaja, koordiniranja i vođenja aktivnosti sjednica odjeljenja, praćenja sudske uprave, evidentiranja pojava u odstupanju od sudske prakse i nezakonitosti u radu nižih sudova, kao i pojedinih vijeća ovog suda. S ovim u vezi predsjednik suda će osigurati dosljednu primjenu Pravilnika o radu sudskih odjeljenja i predsjednika sudskih odjeljenja u kojem će se decidirano pobrojati djelokrug rada sudskih odjeljenja, kao i obaveze predsjednika odjeljenja, a sve prema rješenjima iz novog Pravilnika o unutarnjem poslovanju sudova.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Prema odredbama Pravilnika o unutarnjem poslovanju sudova, potrebno je osigurati kontinuirani rad za sva moguća radna tijela suda kao što su: Kolegij predsjednika suda, stručni kolegij, opća sjednica i kolegij sudske uprave, a rad svih ovih tijela je reguliran odgovarajućim poslovnicima o radu.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Shodno Pravilniku o unutarnjem poslovanju sudova, u sudu je potrebno osigurati kvalitetan rad sudaca mentora, a prema posebnoj Odluci predsjednika suda.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Predsjednik suda će donijeti novi Plan interne komunikacije unutar suda, koji sadrži plan i termine svih sastanaka radnih tijela suda u 2022. godini.</w:t>
      </w:r>
    </w:p>
    <w:p w:rsidR="008C00E3" w:rsidRDefault="008C00E3" w:rsidP="008C00E3">
      <w:pPr>
        <w:pStyle w:val="ListParagraph"/>
        <w:rPr>
          <w:sz w:val="28"/>
          <w:szCs w:val="28"/>
          <w:lang w:val="hr-BA"/>
        </w:rPr>
      </w:pP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U okviru IPA   projekta 2017 „Izgradnja efikasnog pravosuđa u službi građana“ Predsjednik suda i sudska uprava  su izradili Godišnji strateški program 2021-2023 godinu  tako da je </w:t>
      </w:r>
      <w:proofErr w:type="spellStart"/>
      <w:r w:rsidRPr="00B606D9">
        <w:rPr>
          <w:sz w:val="28"/>
          <w:szCs w:val="28"/>
          <w:lang w:val="en-US"/>
        </w:rPr>
        <w:t>Stalna</w:t>
      </w:r>
      <w:proofErr w:type="spellEnd"/>
      <w:r w:rsidRPr="00B606D9">
        <w:rPr>
          <w:sz w:val="28"/>
          <w:szCs w:val="28"/>
          <w:lang w:val="en-US"/>
        </w:rPr>
        <w:t xml:space="preserve"> </w:t>
      </w:r>
      <w:proofErr w:type="spellStart"/>
      <w:r w:rsidRPr="00B606D9">
        <w:rPr>
          <w:sz w:val="28"/>
          <w:szCs w:val="28"/>
          <w:lang w:val="en-US"/>
        </w:rPr>
        <w:t>komisija</w:t>
      </w:r>
      <w:proofErr w:type="spellEnd"/>
      <w:r w:rsidRPr="00B606D9">
        <w:rPr>
          <w:sz w:val="28"/>
          <w:szCs w:val="28"/>
          <w:lang w:val="en-US"/>
        </w:rPr>
        <w:t xml:space="preserve"> za </w:t>
      </w:r>
      <w:proofErr w:type="spellStart"/>
      <w:r w:rsidRPr="00B606D9">
        <w:rPr>
          <w:sz w:val="28"/>
          <w:szCs w:val="28"/>
          <w:lang w:val="en-US"/>
        </w:rPr>
        <w:t>efikasnost</w:t>
      </w:r>
      <w:proofErr w:type="spellEnd"/>
      <w:r w:rsidRPr="00B606D9">
        <w:rPr>
          <w:sz w:val="28"/>
          <w:szCs w:val="28"/>
          <w:lang w:val="en-US"/>
        </w:rPr>
        <w:t xml:space="preserve"> i kvaliteta sudova </w:t>
      </w:r>
      <w:proofErr w:type="spellStart"/>
      <w:r w:rsidRPr="00B606D9">
        <w:rPr>
          <w:sz w:val="28"/>
          <w:szCs w:val="28"/>
          <w:lang w:val="en-US"/>
        </w:rPr>
        <w:t>na</w:t>
      </w:r>
      <w:proofErr w:type="spellEnd"/>
      <w:r w:rsidRPr="00B606D9">
        <w:rPr>
          <w:sz w:val="28"/>
          <w:szCs w:val="28"/>
          <w:lang w:val="en-US"/>
        </w:rPr>
        <w:t xml:space="preserve"> </w:t>
      </w:r>
      <w:proofErr w:type="spellStart"/>
      <w:r w:rsidRPr="00B606D9">
        <w:rPr>
          <w:sz w:val="28"/>
          <w:szCs w:val="28"/>
          <w:lang w:val="en-US"/>
        </w:rPr>
        <w:t>sastanku</w:t>
      </w:r>
      <w:proofErr w:type="spellEnd"/>
      <w:r w:rsidRPr="00B606D9">
        <w:rPr>
          <w:sz w:val="28"/>
          <w:szCs w:val="28"/>
          <w:lang w:val="en-US"/>
        </w:rPr>
        <w:t xml:space="preserve"> </w:t>
      </w:r>
      <w:proofErr w:type="spellStart"/>
      <w:r w:rsidRPr="00B606D9">
        <w:rPr>
          <w:sz w:val="28"/>
          <w:szCs w:val="28"/>
          <w:lang w:val="en-US"/>
        </w:rPr>
        <w:t>održanom</w:t>
      </w:r>
      <w:proofErr w:type="spellEnd"/>
      <w:r w:rsidRPr="00B606D9">
        <w:rPr>
          <w:sz w:val="28"/>
          <w:szCs w:val="28"/>
          <w:lang w:val="en-US"/>
        </w:rPr>
        <w:t xml:space="preserve"> 18.maja 2021. </w:t>
      </w:r>
      <w:proofErr w:type="spellStart"/>
      <w:proofErr w:type="gramStart"/>
      <w:r w:rsidRPr="00B606D9">
        <w:rPr>
          <w:sz w:val="28"/>
          <w:szCs w:val="28"/>
          <w:lang w:val="en-US"/>
        </w:rPr>
        <w:t>godine</w:t>
      </w:r>
      <w:proofErr w:type="spellEnd"/>
      <w:r w:rsidRPr="00B606D9">
        <w:rPr>
          <w:sz w:val="28"/>
          <w:szCs w:val="28"/>
          <w:lang w:val="en-US"/>
        </w:rPr>
        <w:t xml:space="preserve"> </w:t>
      </w:r>
      <w:proofErr w:type="spellStart"/>
      <w:r w:rsidRPr="00B606D9">
        <w:rPr>
          <w:sz w:val="28"/>
          <w:szCs w:val="28"/>
          <w:lang w:val="en-US"/>
        </w:rPr>
        <w:t>usvojila</w:t>
      </w:r>
      <w:proofErr w:type="spellEnd"/>
      <w:r w:rsidRPr="00B606D9">
        <w:rPr>
          <w:sz w:val="28"/>
          <w:szCs w:val="28"/>
          <w:lang w:val="en-US"/>
        </w:rPr>
        <w:t xml:space="preserve"> i </w:t>
      </w:r>
      <w:proofErr w:type="spellStart"/>
      <w:r w:rsidRPr="00B606D9">
        <w:rPr>
          <w:sz w:val="28"/>
          <w:szCs w:val="28"/>
          <w:lang w:val="en-US"/>
        </w:rPr>
        <w:t>dala</w:t>
      </w:r>
      <w:proofErr w:type="spellEnd"/>
      <w:r w:rsidRPr="00B606D9">
        <w:rPr>
          <w:sz w:val="28"/>
          <w:szCs w:val="28"/>
          <w:lang w:val="en-US"/>
        </w:rPr>
        <w:t xml:space="preserve"> </w:t>
      </w:r>
      <w:proofErr w:type="spellStart"/>
      <w:r w:rsidRPr="00B606D9">
        <w:rPr>
          <w:sz w:val="28"/>
          <w:szCs w:val="28"/>
          <w:lang w:val="en-US"/>
        </w:rPr>
        <w:t>saglasnost</w:t>
      </w:r>
      <w:proofErr w:type="spellEnd"/>
      <w:r w:rsidRPr="00B606D9">
        <w:rPr>
          <w:sz w:val="28"/>
          <w:szCs w:val="28"/>
          <w:lang w:val="en-US"/>
        </w:rPr>
        <w:t xml:space="preserve"> za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njegovu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objavu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na</w:t>
      </w:r>
      <w:proofErr w:type="spellEnd"/>
      <w:r>
        <w:rPr>
          <w:sz w:val="28"/>
          <w:szCs w:val="28"/>
          <w:lang w:val="en-US"/>
        </w:rPr>
        <w:t xml:space="preserve"> web </w:t>
      </w:r>
      <w:proofErr w:type="spellStart"/>
      <w:r>
        <w:rPr>
          <w:sz w:val="28"/>
          <w:szCs w:val="28"/>
          <w:lang w:val="en-US"/>
        </w:rPr>
        <w:t>stranici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tako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će</w:t>
      </w:r>
      <w:proofErr w:type="spellEnd"/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hr-BA"/>
        </w:rPr>
        <w:t>u siječnju  završiti sve Izvještaje o radu suda prema Strateškom planu i prema  , Izvještaj o radu sudaca, završiti godišnju inventuru, a na pola godine će uraditi šestomjesečni izvještaj o radu suda, te redoviti po zahtjevu VSTV BiH, nadležnih ministarstava viših sudskih instanci i drugih ovlaštenih tijela i organa, sačinjavati sve potrebne izvještaje i analize o radu suda i stanju predmeta u sudu, a posebno izvještaj o stanju starih predmeta i završenom broju starih predmeta.</w:t>
      </w:r>
      <w:proofErr w:type="gramEnd"/>
      <w:r>
        <w:rPr>
          <w:sz w:val="28"/>
          <w:szCs w:val="28"/>
          <w:lang w:val="hr-BA"/>
        </w:rPr>
        <w:t xml:space="preserve">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Sud će voditi sve potrebne evidencije koje se traže za monitoring rada suda i sudaca prema utvrđenom rasporedu obavljanja poslova evidencije i statistike u sudu, a na temelju ovih evidencija predsjednik suda, će zajedno sa predsjednicima Odjela ovog suda, izvršiti ocjenjivanje sudaca prema </w:t>
      </w:r>
      <w:r>
        <w:rPr>
          <w:sz w:val="28"/>
          <w:szCs w:val="28"/>
          <w:lang w:val="hr-BA"/>
        </w:rPr>
        <w:lastRenderedPageBreak/>
        <w:t>metodologiji VSTV BiH</w:t>
      </w:r>
      <w:r w:rsidR="00F62475">
        <w:rPr>
          <w:sz w:val="28"/>
          <w:szCs w:val="28"/>
          <w:lang w:val="hr-BA"/>
        </w:rPr>
        <w:t xml:space="preserve"> kao i izvršiti ocjenjivanje predsjednika Općinskih sudova sa područja ove županije</w:t>
      </w:r>
      <w:r>
        <w:rPr>
          <w:sz w:val="28"/>
          <w:szCs w:val="28"/>
          <w:lang w:val="hr-BA"/>
        </w:rPr>
        <w:t>, kao i dati ocjenu rada tajnika suda i državnih službenika u sudu, dok će sudska uprava ocijeniti i ostale djelatnike suda.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Sudska uprava će omogućiti svim sucima i stručnim suradnicima pohađanje minimalno 3 dana, odnosno 4 dana u 2022. godini seminara, koje organizira CEST F BiH, kao i drugih oblika edukacije od značaja za rad suda, kao i edukaciju drugih djelatnika suda prema ukazanoj potrebi i programima edukacije, izuzev ako predsjednik suda drugačije odredi posebnom Odlukom. 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Pratiti efikasnost primjene novih zakonskih zakona i procedura, te blagovremeno otklanjati eventualne smetnje u efikasnom radu na primjeni novih zakona.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Nadalje će se u cijelosti poštovati princip rada po predmetima na kojem inzistira VSTV BiH i to tako da se prioritetno rade najstariji predmeti, kao i predmeti sa zakonskim prioritetima. 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U 2022. godini će se afirmirati i ažurno voditi web stranicu ovog suda, putem koje će sredstvima informiranja i građanima biti dostupne najvažnije informacije o radu suda.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Nastaviti rad na stavljanju u funkciju unutarnjeg informacijskog sustava na planu formiranja baze podataka za sudsku praksu, na svim referatima te komunikacije unutar suda putem </w:t>
      </w:r>
      <w:proofErr w:type="spellStart"/>
      <w:r>
        <w:rPr>
          <w:sz w:val="28"/>
          <w:szCs w:val="28"/>
          <w:lang w:val="hr-BA"/>
        </w:rPr>
        <w:t>out</w:t>
      </w:r>
      <w:proofErr w:type="spellEnd"/>
      <w:r>
        <w:rPr>
          <w:sz w:val="28"/>
          <w:szCs w:val="28"/>
          <w:lang w:val="hr-BA"/>
        </w:rPr>
        <w:t xml:space="preserve"> </w:t>
      </w:r>
      <w:proofErr w:type="spellStart"/>
      <w:r>
        <w:rPr>
          <w:sz w:val="28"/>
          <w:szCs w:val="28"/>
          <w:lang w:val="hr-BA"/>
        </w:rPr>
        <w:t>looka</w:t>
      </w:r>
      <w:proofErr w:type="spellEnd"/>
      <w:r>
        <w:rPr>
          <w:sz w:val="28"/>
          <w:szCs w:val="28"/>
          <w:lang w:val="hr-BA"/>
        </w:rPr>
        <w:t>.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>Predsjednik, tajnik suda i šef računovodstva će sačiniti prijedlog proračuna suda za 2022. godinu, u skladu sa Zakonom o proračunu, te aktivno pratiti priliv i realizaciju proračunskih sredstava, te omogućiti najsvrsishodnije i ekonomičnije trošenje proračunskih sredstava, te kroz proračun omogućiti nesmetan rad suda, kao na planu redovitog ostvarivanja osobnih dohodaka i drugih pripadajućih primanja, tako i na planu osiguranja potrebnih materijalno tehničkih sredstava za nesmetan rad suda. Nastavit će se sa praksom i mjerama ušteda na svim stavkama na kojima je mogućno uštedjeti sredstva unutar sudskog proračuna.</w:t>
      </w:r>
    </w:p>
    <w:p w:rsidR="008C00E3" w:rsidRDefault="008C00E3" w:rsidP="008C00E3">
      <w:pPr>
        <w:pStyle w:val="ListParagraph"/>
        <w:rPr>
          <w:sz w:val="28"/>
          <w:szCs w:val="28"/>
          <w:lang w:val="hr-BA"/>
        </w:rPr>
      </w:pP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Sud će i u ovoj godini omogućiti svojim sucima i djelatnicima aktivno sudjelovanje u radu strukovnih udruženja, sindikata i drugih organizacija vezanih za ostvarivanje pravosudne funkcije suda. </w:t>
      </w:r>
    </w:p>
    <w:p w:rsidR="008C00E3" w:rsidRDefault="008C00E3" w:rsidP="008C00E3">
      <w:pPr>
        <w:ind w:left="72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lastRenderedPageBreak/>
        <w:t>Poduzimati sve druge raspoložive mjere i aktivnosti na što efikasnijem i ažurnijem radu suda i sudaca, kao i sve mjere na podizanju kvaliteta rada sudaca i suda, poštivanju postojećih normativa i radnih standarda, radnog vremena, sudačke etike i radne etike za sve druge djelatnike suda.</w:t>
      </w:r>
    </w:p>
    <w:p w:rsidR="008C00E3" w:rsidRPr="00F91EAD" w:rsidRDefault="008C00E3" w:rsidP="008C00E3">
      <w:pPr>
        <w:jc w:val="both"/>
        <w:rPr>
          <w:b/>
          <w:sz w:val="28"/>
          <w:szCs w:val="28"/>
          <w:lang w:val="hr-BA"/>
        </w:rPr>
      </w:pPr>
    </w:p>
    <w:p w:rsidR="008C00E3" w:rsidRDefault="008C00E3" w:rsidP="008C00E3">
      <w:pPr>
        <w:numPr>
          <w:ilvl w:val="0"/>
          <w:numId w:val="1"/>
        </w:numPr>
        <w:jc w:val="both"/>
        <w:rPr>
          <w:b/>
          <w:sz w:val="28"/>
          <w:szCs w:val="28"/>
          <w:lang w:val="hr-BA"/>
        </w:rPr>
      </w:pPr>
      <w:r w:rsidRPr="00E7557F">
        <w:rPr>
          <w:sz w:val="28"/>
          <w:szCs w:val="28"/>
          <w:lang w:val="hr-BA"/>
        </w:rPr>
        <w:t>Sud će u 2022. godini organizirati i održati sastanke sa predsjednicima nižih   sudova, predstavnicima nadležnog ministarstva, predstavnicima nadležnog tužiteljstva, sa odvjetničkom i notarskom komorom i drugim organima i organizacijama</w:t>
      </w:r>
      <w:r w:rsidRPr="00F91EAD">
        <w:rPr>
          <w:b/>
          <w:sz w:val="28"/>
          <w:szCs w:val="28"/>
          <w:lang w:val="hr-BA"/>
        </w:rPr>
        <w:t xml:space="preserve">. </w:t>
      </w:r>
    </w:p>
    <w:p w:rsidR="00F1163A" w:rsidRDefault="00F1163A" w:rsidP="00F1163A">
      <w:pPr>
        <w:pStyle w:val="ListParagraph"/>
        <w:rPr>
          <w:b/>
          <w:sz w:val="28"/>
          <w:szCs w:val="28"/>
          <w:lang w:val="hr-BA"/>
        </w:rPr>
      </w:pPr>
    </w:p>
    <w:p w:rsidR="00F1163A" w:rsidRPr="00F91EAD" w:rsidRDefault="00F1163A" w:rsidP="00F1163A">
      <w:pPr>
        <w:jc w:val="both"/>
        <w:rPr>
          <w:b/>
          <w:sz w:val="28"/>
          <w:szCs w:val="28"/>
          <w:lang w:val="hr-BA"/>
        </w:rPr>
      </w:pPr>
    </w:p>
    <w:p w:rsidR="0029134E" w:rsidRPr="00791BC6" w:rsidRDefault="00F1163A" w:rsidP="0029134E">
      <w:pPr>
        <w:pStyle w:val="ListParagraph"/>
        <w:numPr>
          <w:ilvl w:val="0"/>
          <w:numId w:val="1"/>
        </w:numPr>
        <w:jc w:val="both"/>
        <w:rPr>
          <w:sz w:val="28"/>
          <w:szCs w:val="28"/>
          <w:lang w:val="hr-BA"/>
        </w:rPr>
      </w:pPr>
      <w:r>
        <w:rPr>
          <w:b/>
          <w:sz w:val="28"/>
          <w:szCs w:val="28"/>
          <w:lang w:val="hr-BA"/>
        </w:rPr>
        <w:t xml:space="preserve"> </w:t>
      </w:r>
      <w:r w:rsidR="0029134E" w:rsidRPr="00E7557F">
        <w:rPr>
          <w:sz w:val="28"/>
          <w:szCs w:val="28"/>
          <w:lang w:val="hr-BA"/>
        </w:rPr>
        <w:t>Županijski – Kantonalni sud u Mostaru je kao sud partner tijekom 2021.godine uzeo aktivno učešće u projektu norveške i holandske vlade „</w:t>
      </w:r>
      <w:r w:rsidR="005E59EC" w:rsidRPr="00E7557F">
        <w:rPr>
          <w:sz w:val="28"/>
          <w:szCs w:val="28"/>
          <w:lang w:val="hr-BA"/>
        </w:rPr>
        <w:t>U</w:t>
      </w:r>
      <w:r w:rsidR="0029134E" w:rsidRPr="00E7557F">
        <w:rPr>
          <w:sz w:val="28"/>
          <w:szCs w:val="28"/>
          <w:lang w:val="hr-BA"/>
        </w:rPr>
        <w:t xml:space="preserve">napređenje pravosuđa u građanskoj oblasti“. U skladu sa navedenim projektom </w:t>
      </w:r>
      <w:r w:rsidRPr="00E7557F">
        <w:rPr>
          <w:sz w:val="28"/>
          <w:szCs w:val="28"/>
          <w:lang w:val="hr-BA"/>
        </w:rPr>
        <w:t xml:space="preserve"> </w:t>
      </w:r>
      <w:r w:rsidR="0029134E" w:rsidRPr="00E7557F">
        <w:rPr>
          <w:sz w:val="28"/>
          <w:szCs w:val="28"/>
          <w:lang w:val="hr-BA"/>
        </w:rPr>
        <w:t xml:space="preserve">zaključen je </w:t>
      </w:r>
      <w:r w:rsidR="005E59EC" w:rsidRPr="00E7557F">
        <w:rPr>
          <w:sz w:val="28"/>
          <w:szCs w:val="28"/>
          <w:lang w:val="hr-BA"/>
        </w:rPr>
        <w:t>M</w:t>
      </w:r>
      <w:r w:rsidR="0029134E" w:rsidRPr="00E7557F">
        <w:rPr>
          <w:sz w:val="28"/>
          <w:szCs w:val="28"/>
          <w:lang w:val="hr-BA"/>
        </w:rPr>
        <w:t xml:space="preserve">emorandum o međusobnoj suradnji Županijskog – Kantonalnog suda u Mostaru i Općinskih sudova u Mostaru i Čapljini. U sklopu realizacije zaključenih memoranduma u 2021.godini su se održavali sastanci predsjednika Županijskog – Kantonalnog suda u Mostaru predsjednika Općinskih sudova Mostar i Čapljina kao i sastanci predsjednika građanskih i krivičnih odjeljenja navedenih sudova. Predsjednik Županijskog Kantonalnog suda u Mostaru je u okviru ispunjavanja obaveza preuzetih zaključenim </w:t>
      </w:r>
      <w:r w:rsidR="005E59EC" w:rsidRPr="00E7557F">
        <w:rPr>
          <w:sz w:val="28"/>
          <w:szCs w:val="28"/>
          <w:lang w:val="hr-BA"/>
        </w:rPr>
        <w:t>M</w:t>
      </w:r>
      <w:r w:rsidR="0029134E" w:rsidRPr="00E7557F">
        <w:rPr>
          <w:sz w:val="28"/>
          <w:szCs w:val="28"/>
          <w:lang w:val="hr-BA"/>
        </w:rPr>
        <w:t xml:space="preserve">emorandumima izvršio obilazak i kontrolu Općinskih sudova u Čapljini, Konjicu, Čitluku i Mostaru, i to dva puta, prvi put u periodu od 21.05.2021.godine do 02.06.2021.godine, i drugi put od 06.12.2021.godine do 13.12.2021.godine. </w:t>
      </w:r>
      <w:r w:rsidR="00791BC6">
        <w:rPr>
          <w:sz w:val="28"/>
          <w:szCs w:val="28"/>
          <w:lang w:val="hr-BA"/>
        </w:rPr>
        <w:t xml:space="preserve"> </w:t>
      </w:r>
      <w:r w:rsidR="00791BC6" w:rsidRPr="00791BC6">
        <w:rPr>
          <w:sz w:val="28"/>
          <w:szCs w:val="28"/>
          <w:lang w:val="hr-BA"/>
        </w:rPr>
        <w:t>R</w:t>
      </w:r>
      <w:r w:rsidR="0029134E" w:rsidRPr="00791BC6">
        <w:rPr>
          <w:sz w:val="28"/>
          <w:szCs w:val="28"/>
          <w:lang w:val="hr-BA"/>
        </w:rPr>
        <w:t xml:space="preserve">ealizirajući planove i obaveze preuzete zaključenim </w:t>
      </w:r>
      <w:r w:rsidR="00513761" w:rsidRPr="00791BC6">
        <w:rPr>
          <w:sz w:val="28"/>
          <w:szCs w:val="28"/>
          <w:lang w:val="hr-BA"/>
        </w:rPr>
        <w:t>M</w:t>
      </w:r>
      <w:r w:rsidR="0029134E" w:rsidRPr="00791BC6">
        <w:rPr>
          <w:sz w:val="28"/>
          <w:szCs w:val="28"/>
          <w:lang w:val="hr-BA"/>
        </w:rPr>
        <w:t>emorandumima i u ovoj 2022.godini nastaviti će se sa održavanjem sastanaka predsjednika ovog suda i predsjednika Općinskih sudova u Mostaru i Čapljini, održavat će se također sastanci predsjednika građanskih i krivičnih odjeljenja ovih sudova i isti sastanci biti će održavani jednom u tri mjeseca. Također predsjednik suda će i u 2022.godini vršiti redovnu kontrolu i obilazak Općinskih sudova u Čapljini, Čitluku, Konjicu i Mostaru i to dva puta godišnje, prvi put sredinom kalendar</w:t>
      </w:r>
      <w:r w:rsidR="00E7557F" w:rsidRPr="00791BC6">
        <w:rPr>
          <w:sz w:val="28"/>
          <w:szCs w:val="28"/>
          <w:lang w:val="hr-BA"/>
        </w:rPr>
        <w:t xml:space="preserve">ske godine i drugi put na kraju </w:t>
      </w:r>
      <w:r w:rsidR="0029134E" w:rsidRPr="00791BC6">
        <w:rPr>
          <w:sz w:val="28"/>
          <w:szCs w:val="28"/>
          <w:lang w:val="hr-BA"/>
        </w:rPr>
        <w:t>kalendarske godine</w:t>
      </w:r>
      <w:r w:rsidR="0029134E" w:rsidRPr="00791BC6">
        <w:rPr>
          <w:b/>
          <w:sz w:val="28"/>
          <w:szCs w:val="28"/>
          <w:lang w:val="hr-BA"/>
        </w:rPr>
        <w:t xml:space="preserve">. </w:t>
      </w:r>
    </w:p>
    <w:p w:rsidR="008C00E3" w:rsidRPr="00F91EAD" w:rsidRDefault="008C00E3" w:rsidP="008C00E3">
      <w:pPr>
        <w:jc w:val="both"/>
        <w:rPr>
          <w:b/>
          <w:sz w:val="28"/>
          <w:szCs w:val="28"/>
          <w:lang w:val="hr-BA"/>
        </w:rPr>
      </w:pPr>
    </w:p>
    <w:p w:rsidR="00791BC6" w:rsidRDefault="00E7557F" w:rsidP="00791BC6">
      <w:pPr>
        <w:jc w:val="center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II.  PROGRAM RADA SUDA ZA 2022.GODINE SASTAVNI JE DIO GODIŠNJEG NARATIVNOG IZVJEŠTAJA O RADU SUDA ZA </w:t>
      </w:r>
      <w:r w:rsidR="00791BC6">
        <w:rPr>
          <w:sz w:val="28"/>
          <w:szCs w:val="28"/>
          <w:lang w:val="hr-BA"/>
        </w:rPr>
        <w:t xml:space="preserve"> </w:t>
      </w:r>
      <w:r>
        <w:rPr>
          <w:sz w:val="28"/>
          <w:szCs w:val="28"/>
          <w:lang w:val="hr-BA"/>
        </w:rPr>
        <w:t>2021.GODINU</w:t>
      </w:r>
    </w:p>
    <w:p w:rsidR="00791BC6" w:rsidRDefault="00791BC6" w:rsidP="00791BC6">
      <w:pPr>
        <w:jc w:val="center"/>
        <w:rPr>
          <w:sz w:val="28"/>
          <w:szCs w:val="28"/>
          <w:lang w:val="hr-BA"/>
        </w:rPr>
      </w:pPr>
      <w:r w:rsidRPr="00791BC6">
        <w:rPr>
          <w:sz w:val="28"/>
          <w:szCs w:val="28"/>
          <w:lang w:val="hr-BA"/>
        </w:rPr>
        <w:t xml:space="preserve"> </w:t>
      </w:r>
      <w:r>
        <w:rPr>
          <w:sz w:val="28"/>
          <w:szCs w:val="28"/>
          <w:lang w:val="hr-BA"/>
        </w:rPr>
        <w:t>U Mostaru, 24.01.2022. godine</w:t>
      </w:r>
    </w:p>
    <w:p w:rsidR="008C00E3" w:rsidRDefault="00E7557F" w:rsidP="008C00E3">
      <w:pPr>
        <w:jc w:val="both"/>
        <w:rPr>
          <w:b/>
          <w:bCs/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. </w:t>
      </w:r>
      <w:r w:rsidR="008C00E3">
        <w:rPr>
          <w:sz w:val="28"/>
          <w:szCs w:val="28"/>
          <w:lang w:val="hr-BA"/>
        </w:rPr>
        <w:t xml:space="preserve">                                                                  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                                                     </w:t>
      </w:r>
      <w:r w:rsidR="00E7557F">
        <w:rPr>
          <w:sz w:val="28"/>
          <w:szCs w:val="28"/>
          <w:lang w:val="hr-BA"/>
        </w:rPr>
        <w:t xml:space="preserve">                              </w:t>
      </w:r>
      <w:r>
        <w:rPr>
          <w:sz w:val="28"/>
          <w:szCs w:val="28"/>
          <w:lang w:val="hr-BA"/>
        </w:rPr>
        <w:t xml:space="preserve"> Predsjednik suda   </w:t>
      </w:r>
    </w:p>
    <w:p w:rsidR="008C00E3" w:rsidRDefault="008C00E3" w:rsidP="008C00E3">
      <w:p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                                                                                          Zoran </w:t>
      </w:r>
      <w:proofErr w:type="spellStart"/>
      <w:r>
        <w:rPr>
          <w:sz w:val="28"/>
          <w:szCs w:val="28"/>
          <w:lang w:val="hr-BA"/>
        </w:rPr>
        <w:t>Krtalić</w:t>
      </w:r>
      <w:proofErr w:type="spellEnd"/>
    </w:p>
    <w:p w:rsidR="008C00E3" w:rsidRDefault="008C00E3" w:rsidP="008C00E3">
      <w:pPr>
        <w:jc w:val="both"/>
        <w:rPr>
          <w:sz w:val="28"/>
          <w:szCs w:val="28"/>
          <w:lang w:val="hr-BA"/>
        </w:rPr>
      </w:pPr>
      <w:r>
        <w:rPr>
          <w:sz w:val="28"/>
          <w:szCs w:val="28"/>
          <w:lang w:val="hr-BA"/>
        </w:rPr>
        <w:t xml:space="preserve">  </w:t>
      </w:r>
    </w:p>
    <w:p w:rsidR="008C00E3" w:rsidRDefault="008C00E3" w:rsidP="008C00E3">
      <w:pPr>
        <w:ind w:left="36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ind w:left="360"/>
        <w:jc w:val="both"/>
        <w:rPr>
          <w:sz w:val="28"/>
          <w:szCs w:val="28"/>
          <w:lang w:val="hr-BA"/>
        </w:rPr>
      </w:pPr>
    </w:p>
    <w:p w:rsidR="008C00E3" w:rsidRDefault="008C00E3" w:rsidP="008C00E3">
      <w:pPr>
        <w:rPr>
          <w:lang w:val="hr-BA"/>
        </w:rPr>
      </w:pPr>
    </w:p>
    <w:p w:rsidR="008C00E3" w:rsidRDefault="008C00E3" w:rsidP="008C00E3">
      <w:pPr>
        <w:rPr>
          <w:rFonts w:ascii="Calibri" w:hAnsi="Calibri" w:cs="Calibri"/>
          <w:sz w:val="22"/>
          <w:szCs w:val="22"/>
        </w:rPr>
      </w:pPr>
    </w:p>
    <w:p w:rsidR="008C00E3" w:rsidRDefault="008C00E3" w:rsidP="008C00E3"/>
    <w:p w:rsidR="00C14E4E" w:rsidRDefault="00C14E4E"/>
    <w:sectPr w:rsidR="00C14E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67CD2"/>
    <w:multiLevelType w:val="hybridMultilevel"/>
    <w:tmpl w:val="E6A4AA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98C0ABC"/>
    <w:multiLevelType w:val="hybridMultilevel"/>
    <w:tmpl w:val="A08475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0E3"/>
    <w:rsid w:val="0029134E"/>
    <w:rsid w:val="00513761"/>
    <w:rsid w:val="00570F1A"/>
    <w:rsid w:val="005E59EC"/>
    <w:rsid w:val="006C3F4E"/>
    <w:rsid w:val="00791BC6"/>
    <w:rsid w:val="008C00E3"/>
    <w:rsid w:val="0092284A"/>
    <w:rsid w:val="00C14E4E"/>
    <w:rsid w:val="00E7557F"/>
    <w:rsid w:val="00F1163A"/>
    <w:rsid w:val="00F62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0664AD"/>
  <w15:chartTrackingRefBased/>
  <w15:docId w15:val="{65690224-586B-4C18-BEF5-E9117A1B4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00E3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0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1336</Words>
  <Characters>7620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 Topic</dc:creator>
  <cp:keywords/>
  <dc:description/>
  <cp:lastModifiedBy>Nedzad Vejzovic</cp:lastModifiedBy>
  <cp:revision>2</cp:revision>
  <cp:lastPrinted>2022-01-26T12:14:00Z</cp:lastPrinted>
  <dcterms:created xsi:type="dcterms:W3CDTF">2022-02-11T09:02:00Z</dcterms:created>
  <dcterms:modified xsi:type="dcterms:W3CDTF">2022-02-11T09:02:00Z</dcterms:modified>
</cp:coreProperties>
</file>