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0E7" w:rsidRDefault="002B00E7" w:rsidP="002B00E7">
      <w:pPr>
        <w:jc w:val="center"/>
        <w:rPr>
          <w:lang w:val="hr-BA"/>
        </w:rPr>
      </w:pPr>
      <w:r>
        <w:rPr>
          <w:lang w:val="hr-BA"/>
        </w:rPr>
        <w:t>BOSNA I HERCEGOVINA</w:t>
      </w:r>
    </w:p>
    <w:p w:rsidR="002B00E7" w:rsidRDefault="002B00E7" w:rsidP="002B00E7">
      <w:pPr>
        <w:jc w:val="center"/>
        <w:rPr>
          <w:lang w:val="hr-BA"/>
        </w:rPr>
      </w:pPr>
      <w:r>
        <w:rPr>
          <w:lang w:val="hr-BA"/>
        </w:rPr>
        <w:t>FEDERACIJA BOSNE I HERCEGOVINE</w:t>
      </w:r>
    </w:p>
    <w:p w:rsidR="002B00E7" w:rsidRDefault="002B00E7" w:rsidP="002B00E7">
      <w:pPr>
        <w:jc w:val="center"/>
        <w:rPr>
          <w:lang w:val="hr-BA"/>
        </w:rPr>
      </w:pPr>
      <w:r>
        <w:rPr>
          <w:lang w:val="hr-BA"/>
        </w:rPr>
        <w:t>HERCEGOVAČKO NERETVANSKI KANTON</w:t>
      </w:r>
    </w:p>
    <w:p w:rsidR="002B00E7" w:rsidRDefault="002B00E7" w:rsidP="002B00E7">
      <w:pPr>
        <w:jc w:val="center"/>
        <w:rPr>
          <w:b/>
          <w:bCs/>
          <w:lang w:val="hr-BA"/>
        </w:rPr>
      </w:pPr>
      <w:r>
        <w:rPr>
          <w:b/>
          <w:bCs/>
          <w:lang w:val="hr-BA"/>
        </w:rPr>
        <w:t>KANTONALNI/ŽUPANIJSKI SUD MOSTAR</w:t>
      </w:r>
    </w:p>
    <w:p w:rsidR="002B00E7" w:rsidRDefault="002B00E7" w:rsidP="002B00E7">
      <w:pPr>
        <w:rPr>
          <w:b/>
          <w:bCs/>
          <w:lang w:val="hr-BA"/>
        </w:rPr>
      </w:pPr>
    </w:p>
    <w:p w:rsidR="002B00E7" w:rsidRDefault="002B00E7" w:rsidP="002B00E7">
      <w:pPr>
        <w:rPr>
          <w:b/>
          <w:bCs/>
          <w:lang w:val="hr-BA"/>
        </w:rPr>
      </w:pPr>
      <w:r>
        <w:rPr>
          <w:b/>
          <w:bCs/>
          <w:lang w:val="hr-BA"/>
        </w:rPr>
        <w:t xml:space="preserve">Poslovni broj: 07 0 Su 020535  22 Su </w:t>
      </w:r>
    </w:p>
    <w:p w:rsidR="002B00E7" w:rsidRDefault="002B00E7" w:rsidP="002B00E7">
      <w:pPr>
        <w:rPr>
          <w:b/>
          <w:bCs/>
          <w:lang w:val="hr-BA"/>
        </w:rPr>
      </w:pPr>
    </w:p>
    <w:p w:rsidR="002B00E7" w:rsidRDefault="002B00E7" w:rsidP="002B00E7">
      <w:pPr>
        <w:rPr>
          <w:b/>
          <w:bCs/>
          <w:lang w:val="hr-BA"/>
        </w:rPr>
      </w:pPr>
    </w:p>
    <w:p w:rsidR="002B00E7" w:rsidRDefault="002B00E7" w:rsidP="002B00E7">
      <w:pPr>
        <w:jc w:val="center"/>
        <w:rPr>
          <w:b/>
          <w:bCs/>
          <w:lang w:val="hr-BA"/>
        </w:rPr>
      </w:pPr>
      <w:r>
        <w:rPr>
          <w:b/>
          <w:bCs/>
          <w:lang w:val="hr-BA"/>
        </w:rPr>
        <w:t xml:space="preserve">IZVJEŠTAJ O RADU KANTONALNOG/ŽUPANIJSKOG SUDA U MOSTARU </w:t>
      </w:r>
    </w:p>
    <w:p w:rsidR="002B00E7" w:rsidRDefault="002B00E7" w:rsidP="002B00E7">
      <w:pPr>
        <w:jc w:val="center"/>
        <w:rPr>
          <w:b/>
          <w:bCs/>
          <w:lang w:val="hr-BA"/>
        </w:rPr>
      </w:pPr>
      <w:r>
        <w:rPr>
          <w:b/>
          <w:bCs/>
          <w:lang w:val="hr-BA"/>
        </w:rPr>
        <w:t>ZA 2021. GODINU</w:t>
      </w:r>
    </w:p>
    <w:p w:rsidR="002B00E7" w:rsidRDefault="002B00E7" w:rsidP="002B00E7">
      <w:pPr>
        <w:jc w:val="center"/>
        <w:rPr>
          <w:b/>
          <w:bCs/>
          <w:lang w:val="hr-BA"/>
        </w:rPr>
      </w:pPr>
    </w:p>
    <w:p w:rsidR="002B00E7" w:rsidRDefault="002B00E7" w:rsidP="002B00E7">
      <w:pPr>
        <w:jc w:val="both"/>
        <w:rPr>
          <w:b/>
          <w:bCs/>
          <w:lang w:val="hr-BA"/>
        </w:rPr>
      </w:pPr>
    </w:p>
    <w:p w:rsidR="002B00E7" w:rsidRDefault="002B00E7" w:rsidP="002B00E7">
      <w:pPr>
        <w:jc w:val="center"/>
        <w:rPr>
          <w:b/>
          <w:bCs/>
          <w:lang w:val="hr-BA"/>
        </w:rPr>
      </w:pPr>
      <w:r>
        <w:rPr>
          <w:b/>
          <w:bCs/>
          <w:lang w:val="hr-BA"/>
        </w:rPr>
        <w:t>UVODNE NAPOMENE</w:t>
      </w:r>
    </w:p>
    <w:p w:rsidR="002B00E7" w:rsidRDefault="002B00E7" w:rsidP="002B00E7">
      <w:pPr>
        <w:jc w:val="both"/>
        <w:rPr>
          <w:b/>
          <w:bCs/>
          <w:lang w:val="hr-BA"/>
        </w:rPr>
      </w:pPr>
    </w:p>
    <w:p w:rsidR="002B00E7" w:rsidRDefault="002B00E7" w:rsidP="002B00E7">
      <w:pPr>
        <w:jc w:val="both"/>
        <w:rPr>
          <w:b/>
          <w:bCs/>
          <w:lang w:val="hr-BA"/>
        </w:rPr>
      </w:pPr>
    </w:p>
    <w:p w:rsidR="002B00E7" w:rsidRDefault="002B00E7" w:rsidP="002B00E7">
      <w:pPr>
        <w:jc w:val="both"/>
        <w:rPr>
          <w:lang w:val="hr-BA"/>
        </w:rPr>
      </w:pPr>
      <w:r>
        <w:rPr>
          <w:b/>
          <w:bCs/>
          <w:lang w:val="hr-BA"/>
        </w:rPr>
        <w:t xml:space="preserve">            </w:t>
      </w:r>
      <w:r>
        <w:rPr>
          <w:lang w:val="hr-BA"/>
        </w:rPr>
        <w:t xml:space="preserve">U 2021.godini prva četiri mjeseca radilo je 19 redovnih sudaca. U petom  mjesecu 2021.godine predsjednica upravnog odjela Vesna Savić  otišla u mirovinu  a 16.03.2021.godine  v.d. predsjednik suda i predsjednik građanskog odjela Zoran </w:t>
      </w:r>
      <w:proofErr w:type="spellStart"/>
      <w:r>
        <w:rPr>
          <w:lang w:val="hr-BA"/>
        </w:rPr>
        <w:t>Krtalić</w:t>
      </w:r>
      <w:proofErr w:type="spellEnd"/>
      <w:r>
        <w:rPr>
          <w:lang w:val="hr-BA"/>
        </w:rPr>
        <w:t xml:space="preserve">  je imenovan za predsjednika suda, tako da je 8 mjeseci u 2021.godini radilo 17 sudaca i  Predsjednik suda. Kako je  Zoran </w:t>
      </w:r>
      <w:proofErr w:type="spellStart"/>
      <w:r>
        <w:rPr>
          <w:lang w:val="hr-BA"/>
        </w:rPr>
        <w:t>Krtalić</w:t>
      </w:r>
      <w:proofErr w:type="spellEnd"/>
      <w:r>
        <w:rPr>
          <w:lang w:val="hr-BA"/>
        </w:rPr>
        <w:t xml:space="preserve"> imenovan na funkciju predsjednika suda to je raspisan interni poziv za imenovanje predsjednika građanskog odjela i na tu funkciju izabrana je sutkinja Tatjana Mijatović od 01.05.2021.godine a sve temeljem Smjernica VSTV-A za imenovanja predsjednika sudskih odjela.</w:t>
      </w:r>
    </w:p>
    <w:p w:rsidR="002B00E7" w:rsidRDefault="002B00E7" w:rsidP="002B00E7">
      <w:pPr>
        <w:jc w:val="both"/>
        <w:rPr>
          <w:lang w:val="hr-BA"/>
        </w:rPr>
      </w:pPr>
    </w:p>
    <w:p w:rsidR="002B00E7" w:rsidRDefault="002B00E7" w:rsidP="002B00E7">
      <w:pPr>
        <w:jc w:val="both"/>
        <w:rPr>
          <w:lang w:val="hr-BA"/>
        </w:rPr>
      </w:pPr>
      <w:r>
        <w:rPr>
          <w:lang w:val="hr-BA"/>
        </w:rPr>
        <w:t xml:space="preserve">            Kao i prethodnu godinu tako je i 2021.godinu obilježila </w:t>
      </w:r>
      <w:proofErr w:type="spellStart"/>
      <w:r>
        <w:rPr>
          <w:lang w:val="hr-BA"/>
        </w:rPr>
        <w:t>pandemija</w:t>
      </w:r>
      <w:proofErr w:type="spellEnd"/>
      <w:r>
        <w:rPr>
          <w:lang w:val="hr-BA"/>
        </w:rPr>
        <w:t xml:space="preserve"> uzrokovana virusom COVID-19 i dosta uposlenika i sudaca je u dva veća navrata bilo zaraženo virusom,  ali posao je organiziran da se to sve premostilo bez ikakvih posljedica , što je vidljivo iz kolektivne norme suda u iznosu od 119,68%.</w:t>
      </w:r>
    </w:p>
    <w:p w:rsidR="002B00E7" w:rsidRDefault="002B00E7" w:rsidP="002B00E7">
      <w:pPr>
        <w:jc w:val="both"/>
        <w:rPr>
          <w:lang w:val="hr-BA"/>
        </w:rPr>
      </w:pPr>
    </w:p>
    <w:p w:rsidR="002B00E7" w:rsidRDefault="002B00E7" w:rsidP="002B00E7">
      <w:pPr>
        <w:jc w:val="both"/>
        <w:rPr>
          <w:lang w:val="hr-BA"/>
        </w:rPr>
      </w:pPr>
      <w:r>
        <w:rPr>
          <w:lang w:val="hr-BA"/>
        </w:rPr>
        <w:t xml:space="preserve">            U sudu je na kraju 2021.godine radilo 38 uposlenika i to 34 državna namještenika i 4 državna službenika, od kojih državnih službenika je na upražnjeno radno mjesto tajnika/sekretara suda izabrana državna službenica ovog suda  Nataša </w:t>
      </w:r>
      <w:proofErr w:type="spellStart"/>
      <w:r>
        <w:rPr>
          <w:lang w:val="hr-BA"/>
        </w:rPr>
        <w:t>Vejzović</w:t>
      </w:r>
      <w:proofErr w:type="spellEnd"/>
      <w:r>
        <w:rPr>
          <w:lang w:val="hr-BA"/>
        </w:rPr>
        <w:t xml:space="preserve"> Ivanišević 17.05.2021.godine. Krajem 2021.godine još dva državna namještenika su otišla u mirovinu, pa je radi  popunjavanja sistematizacije radnih mjesta u sudu, upućen zahtjev nadležnom Ministarstvu pravosuđa, uprave i lokalne samouprave HNŽ i Vladi HNŽ za  dobivanje suglasnost za prijem. Također,  u  7-om mjesecu 2021.godine podnesen je zahtjev za upražnjena radna mjesta za državnog službenika i jednog sudačkog asistenta koji je otišao u mirovinu u 5-om mjesecu 2021.godine koja suglasnost još nije dobivena.</w:t>
      </w:r>
    </w:p>
    <w:p w:rsidR="002B00E7" w:rsidRDefault="002B00E7" w:rsidP="002B00E7">
      <w:pPr>
        <w:jc w:val="both"/>
        <w:rPr>
          <w:lang w:val="hr-BA"/>
        </w:rPr>
      </w:pPr>
    </w:p>
    <w:p w:rsidR="002B00E7" w:rsidRDefault="002B00E7" w:rsidP="002B00E7">
      <w:pPr>
        <w:jc w:val="both"/>
        <w:rPr>
          <w:lang w:val="hr-BA"/>
        </w:rPr>
      </w:pPr>
      <w:r>
        <w:rPr>
          <w:lang w:val="hr-BA"/>
        </w:rPr>
        <w:t>            Poslove iz svoje nadležnosti ovaj sud obavlja za područje općinskih sudova Konjic, Mostar ,Čapljina i Čitluk</w:t>
      </w:r>
      <w:r>
        <w:rPr>
          <w:b/>
          <w:bCs/>
          <w:lang w:val="hr-BA"/>
        </w:rPr>
        <w:t xml:space="preserve">  </w:t>
      </w:r>
      <w:r>
        <w:rPr>
          <w:lang w:val="hr-BA"/>
        </w:rPr>
        <w:t>odnosno Hercegovačko neretvanske županije / kantona.</w:t>
      </w:r>
    </w:p>
    <w:p w:rsidR="002B00E7" w:rsidRDefault="002B00E7" w:rsidP="002B00E7">
      <w:pPr>
        <w:jc w:val="both"/>
        <w:rPr>
          <w:lang w:val="hr-BA"/>
        </w:rPr>
      </w:pPr>
    </w:p>
    <w:p w:rsidR="002B00E7" w:rsidRDefault="002B00E7" w:rsidP="002B00E7">
      <w:pPr>
        <w:jc w:val="both"/>
        <w:rPr>
          <w:lang w:val="hr-BA"/>
        </w:rPr>
      </w:pPr>
      <w:r>
        <w:rPr>
          <w:lang w:val="hr-BA"/>
        </w:rPr>
        <w:t xml:space="preserve">            U ovom izvještaju prezentirani su svi relevantni podaci o radu suda, broju i vrsti predmeta prenesenih iz ranijeg izvještajnog perioda, ukupan broj predmeta u radu, riješenih predmeta u izvještajnoj godini, neriješenih predmeta na kraju 2021. godine, rezultati i karakteristike rada po pojedinim sudskim referatima, </w:t>
      </w:r>
      <w:proofErr w:type="spellStart"/>
      <w:r>
        <w:rPr>
          <w:lang w:val="hr-BA"/>
        </w:rPr>
        <w:t>kvalitet</w:t>
      </w:r>
      <w:proofErr w:type="spellEnd"/>
      <w:r>
        <w:rPr>
          <w:lang w:val="hr-BA"/>
        </w:rPr>
        <w:t xml:space="preserve"> rada suda izražen kroz broj potvrđenih, preinačenih i ukinutih odluka od strane Višeg Apelacionog suda, kao i materijalno financijsko poslovanje suda, materijalno tehnička opremljenost suda i kadrovska situacija u sudu. Sastavni dio ovog izvještaja o radu je Pregled rada sudaca ovog suda za 2021. godinu u kojem su prikazani pojedinačni rezultati i </w:t>
      </w:r>
      <w:proofErr w:type="spellStart"/>
      <w:r>
        <w:rPr>
          <w:lang w:val="hr-BA"/>
        </w:rPr>
        <w:t>kvalitet</w:t>
      </w:r>
      <w:proofErr w:type="spellEnd"/>
      <w:r>
        <w:rPr>
          <w:lang w:val="hr-BA"/>
        </w:rPr>
        <w:t xml:space="preserve"> rada svakog od sudaca i predsjednika suda, </w:t>
      </w:r>
      <w:r>
        <w:rPr>
          <w:lang w:val="hr-BA"/>
        </w:rPr>
        <w:lastRenderedPageBreak/>
        <w:t xml:space="preserve">kao i tabelarni pregled rada suda prema tabelama i standardima VSTV BiH, Godišnji raspored poslova sudaca za 2022.godinu i Program rada suda za 2022.godinu.  </w:t>
      </w:r>
    </w:p>
    <w:p w:rsidR="002B00E7" w:rsidRDefault="002B00E7" w:rsidP="002B00E7">
      <w:pPr>
        <w:jc w:val="center"/>
        <w:rPr>
          <w:b/>
          <w:bCs/>
          <w:lang w:val="hr-BA"/>
        </w:rPr>
      </w:pPr>
    </w:p>
    <w:p w:rsidR="002B00E7" w:rsidRDefault="002B00E7" w:rsidP="002B00E7">
      <w:pPr>
        <w:jc w:val="center"/>
        <w:rPr>
          <w:b/>
          <w:bCs/>
          <w:lang w:val="hr-BA"/>
        </w:rPr>
      </w:pPr>
    </w:p>
    <w:p w:rsidR="002B00E7" w:rsidRDefault="002B00E7" w:rsidP="002B00E7">
      <w:pPr>
        <w:jc w:val="center"/>
        <w:rPr>
          <w:lang w:val="hr-BA"/>
        </w:rPr>
      </w:pPr>
      <w:r>
        <w:rPr>
          <w:b/>
          <w:bCs/>
          <w:lang w:val="hr-BA"/>
        </w:rPr>
        <w:t>OPĆE KARAKTERISIKE RADA</w:t>
      </w:r>
    </w:p>
    <w:p w:rsidR="002B00E7" w:rsidRDefault="002B00E7" w:rsidP="002B00E7">
      <w:pPr>
        <w:jc w:val="both"/>
        <w:rPr>
          <w:lang w:val="hr-BA"/>
        </w:rPr>
      </w:pPr>
    </w:p>
    <w:p w:rsidR="002B00E7" w:rsidRDefault="002B00E7" w:rsidP="002B00E7">
      <w:pPr>
        <w:jc w:val="both"/>
        <w:rPr>
          <w:lang w:val="hr-BA"/>
        </w:rPr>
      </w:pPr>
      <w:r>
        <w:rPr>
          <w:lang w:val="hr-BA"/>
        </w:rPr>
        <w:t xml:space="preserve">            </w:t>
      </w:r>
    </w:p>
    <w:p w:rsidR="002B00E7" w:rsidRDefault="002B00E7" w:rsidP="002B00E7">
      <w:pPr>
        <w:jc w:val="both"/>
        <w:rPr>
          <w:lang w:val="hr-BA"/>
        </w:rPr>
      </w:pPr>
      <w:r>
        <w:rPr>
          <w:lang w:val="hr-BA"/>
        </w:rPr>
        <w:t>            Shodno članu 55. Zakona o sudovima, predsjednik suda je raspored poslova u sudu utvrdio godišnjim rasporedom poslova i osigurao njihovo izvršenje i dosljednu primjenu.</w:t>
      </w:r>
    </w:p>
    <w:p w:rsidR="002B00E7" w:rsidRDefault="002B00E7" w:rsidP="002B00E7">
      <w:pPr>
        <w:jc w:val="both"/>
        <w:rPr>
          <w:lang w:val="hr-BA"/>
        </w:rPr>
      </w:pPr>
    </w:p>
    <w:p w:rsidR="002B00E7" w:rsidRDefault="002B00E7" w:rsidP="002B00E7">
      <w:pPr>
        <w:jc w:val="both"/>
        <w:rPr>
          <w:lang w:val="hr-BA"/>
        </w:rPr>
      </w:pPr>
      <w:r>
        <w:rPr>
          <w:lang w:val="hr-BA"/>
        </w:rPr>
        <w:t>            U izvještajnom periodu o sudu funkcionirali su kazneno-prekršajni, građansko-privredni  i upravni odjel do 01.05.2021.godine , jer nakon odlaska predsjednice odjela i nakon sprovedene procedure niti jedan sudac se nije prijavio na interni poziv za mjesto predsjednika upravnog odjela. Obzirom da  ovaj sud već odavno čeka imenovanja 3 suca od koji će 2 suca  biti raspoređena na upravni referat jer je  veliki zaostatak na upravnom odjelu, (a sve zbog odlaska sudaca sa istog referata u zadnje dvije godine u mirovinu uz činjenicu da je  jedan sudac  iznenada umro) imenovanjem sudaca i njihovim rasporedom u Upravni odjel biće izabran i predsjednik upravnog odjeljenja.</w:t>
      </w:r>
    </w:p>
    <w:p w:rsidR="002B00E7" w:rsidRDefault="002B00E7" w:rsidP="002B00E7">
      <w:pPr>
        <w:jc w:val="both"/>
        <w:rPr>
          <w:lang w:val="hr-BA"/>
        </w:rPr>
      </w:pPr>
      <w:r>
        <w:rPr>
          <w:lang w:val="hr-BA"/>
        </w:rPr>
        <w:t xml:space="preserve">.   </w:t>
      </w:r>
    </w:p>
    <w:p w:rsidR="002B00E7" w:rsidRDefault="002B00E7" w:rsidP="002B00E7">
      <w:pPr>
        <w:jc w:val="both"/>
        <w:rPr>
          <w:lang w:val="hr-BA"/>
        </w:rPr>
      </w:pPr>
      <w:r>
        <w:rPr>
          <w:lang w:val="hr-BA"/>
        </w:rPr>
        <w:t>            Kolektivna norma suda u 2021.godini je 119,68%, što je odličan  rezultat.</w:t>
      </w:r>
    </w:p>
    <w:p w:rsidR="002B00E7" w:rsidRDefault="002B00E7" w:rsidP="002B00E7">
      <w:pPr>
        <w:jc w:val="both"/>
        <w:rPr>
          <w:lang w:val="hr-BA"/>
        </w:rPr>
      </w:pPr>
    </w:p>
    <w:p w:rsidR="002B00E7" w:rsidRDefault="002B00E7" w:rsidP="002B00E7">
      <w:pPr>
        <w:jc w:val="both"/>
        <w:rPr>
          <w:lang w:val="hr-BA"/>
        </w:rPr>
      </w:pPr>
      <w:r>
        <w:rPr>
          <w:lang w:val="hr-BA"/>
        </w:rPr>
        <w:t xml:space="preserve">            U okviru kaznenog  odjela poslovi su obavljani u tročlanim prvostupanjskim kaznenim vijećima i tročlanim izvan raspravnim vijećima, tročlanim drugostupanjskim kaznenim vijećima, sucu za prethodni postupak i sucu za prethodno saslušanje, kao i dežurni suci za dežurstva izvan radnog vremena gdje su zbog nedovoljnog broja sudaca na kaznenom referatu  uvršteni i suci sa građanskog i privrednog referata.  Predsjednik  suda je također  zbog nedovoljnog broja sudaca na kaznenom referatu angažirao i suce s građanskog i upravnog odjela u radu prvostupanjskih krivičnih vijeća, tako da sud nije imao posebnih problema prilikom sastavljanja sudskih vijeća. Prema </w:t>
      </w:r>
      <w:proofErr w:type="spellStart"/>
      <w:r>
        <w:rPr>
          <w:lang w:val="hr-BA"/>
        </w:rPr>
        <w:t>Uputstvu</w:t>
      </w:r>
      <w:proofErr w:type="spellEnd"/>
      <w:r>
        <w:rPr>
          <w:lang w:val="hr-BA"/>
        </w:rPr>
        <w:t xml:space="preserve"> VSTV-a za izradu plana rješavanja predmeta od 27.11.2018.godine donijeti su planovi za drugostupanjska krivična vijeća na kvartalnom nivou i Godišnji plan za prvostupanjske predmete. Prvostupanjski kazneni predmeti su raspoređena na dva suca po 100% norme od kojih je jedan predsjednik vijeća uz napomenu da je sudac Elis </w:t>
      </w:r>
      <w:proofErr w:type="spellStart"/>
      <w:r>
        <w:rPr>
          <w:lang w:val="hr-BA"/>
        </w:rPr>
        <w:t>Sultanić</w:t>
      </w:r>
      <w:proofErr w:type="spellEnd"/>
      <w:r>
        <w:rPr>
          <w:lang w:val="hr-BA"/>
        </w:rPr>
        <w:t xml:space="preserve">  za prvostupanjske kaznene predmete predviđen ako se ukaže potreba. </w:t>
      </w:r>
    </w:p>
    <w:p w:rsidR="002B00E7" w:rsidRDefault="002B00E7" w:rsidP="002B00E7">
      <w:pPr>
        <w:jc w:val="both"/>
        <w:rPr>
          <w:lang w:val="hr-BA"/>
        </w:rPr>
      </w:pPr>
    </w:p>
    <w:p w:rsidR="002B00E7" w:rsidRDefault="00D567F1" w:rsidP="00D567F1">
      <w:pPr>
        <w:jc w:val="both"/>
        <w:rPr>
          <w:lang w:val="hr-BA"/>
        </w:rPr>
      </w:pPr>
      <w:r>
        <w:rPr>
          <w:lang w:val="hr-BA"/>
        </w:rPr>
        <w:tab/>
      </w:r>
      <w:r w:rsidR="002B00E7">
        <w:rPr>
          <w:lang w:val="hr-BA"/>
        </w:rPr>
        <w:t>U  građansko-privrednom odjelu poslovi su se odvijali u okviru četveročlanih građanskih vijeća gdje su postojala tri vijeća za drugostupanjske građanske predmete, a posebno su određena dva  suca za rad na obiteljskim sporovima i sudac za rad na drugostupanjskom privrednom referatu.  Zbog konstantnog velikog priliva iz ranijih godina, ovaj referat nije ažuran u zakonskom smislu po članu 217. ZPP-a, nego je na ovom referatu izražena petnaestomjesečna  neažurnosti u pogledu svih neriješenih predmeta, što iziskuje  izradu plana rješavanja predmeta na ovom referatu</w:t>
      </w:r>
      <w:r w:rsidR="002B00E7">
        <w:rPr>
          <w:b/>
          <w:bCs/>
          <w:lang w:val="hr-BA"/>
        </w:rPr>
        <w:t xml:space="preserve">. </w:t>
      </w:r>
      <w:r w:rsidR="002B00E7">
        <w:rPr>
          <w:lang w:val="hr-BA"/>
        </w:rPr>
        <w:t xml:space="preserve">U 2021-toj godini na građanskom  referatu  radilo je  13 sudaca i predsjednik  suda koji radi i više od propisane norme koja iznosi   30% sudačke norme i ukupno je riješeno 2649 </w:t>
      </w:r>
      <w:proofErr w:type="spellStart"/>
      <w:r w:rsidR="002B00E7">
        <w:rPr>
          <w:lang w:val="hr-BA"/>
        </w:rPr>
        <w:t>Gž</w:t>
      </w:r>
      <w:proofErr w:type="spellEnd"/>
      <w:r w:rsidR="002B00E7">
        <w:rPr>
          <w:lang w:val="hr-BA"/>
        </w:rPr>
        <w:t xml:space="preserve"> i </w:t>
      </w:r>
      <w:proofErr w:type="spellStart"/>
      <w:r w:rsidR="002B00E7">
        <w:rPr>
          <w:lang w:val="hr-BA"/>
        </w:rPr>
        <w:t>Rsž</w:t>
      </w:r>
      <w:proofErr w:type="spellEnd"/>
      <w:r w:rsidR="002B00E7">
        <w:rPr>
          <w:lang w:val="hr-BA"/>
        </w:rPr>
        <w:t xml:space="preserve"> predmeta i 187 </w:t>
      </w:r>
      <w:proofErr w:type="spellStart"/>
      <w:r w:rsidR="002B00E7">
        <w:rPr>
          <w:lang w:val="hr-BA"/>
        </w:rPr>
        <w:t>Pž</w:t>
      </w:r>
      <w:proofErr w:type="spellEnd"/>
      <w:r w:rsidR="002B00E7">
        <w:rPr>
          <w:lang w:val="hr-BA"/>
        </w:rPr>
        <w:t xml:space="preserve"> predmeta i 62 V predmeta. Na kraju izvještajnog perioda na građanskom referatu ostalo je 3336  predmeta, što znači da je svaki sudac na ovom referatu zadužen sa cca 250 predmeta a to je uzimajući u obzir da je norma 198 predmeta u meritumu , petnaestomjesečna  neažurnost. Naprijed navedeno je  iz razloga pored vanrednog rada sudaca i velikog broja završenih predmeta i  smanjen priliv u 2020. i 2021.godine koji je uzrokovan </w:t>
      </w:r>
      <w:proofErr w:type="spellStart"/>
      <w:r w:rsidR="002B00E7">
        <w:rPr>
          <w:lang w:val="hr-BA"/>
        </w:rPr>
        <w:t>pandemijom</w:t>
      </w:r>
      <w:proofErr w:type="spellEnd"/>
      <w:r w:rsidR="002B00E7">
        <w:rPr>
          <w:lang w:val="hr-BA"/>
        </w:rPr>
        <w:t xml:space="preserve"> Covida-19. </w:t>
      </w:r>
    </w:p>
    <w:p w:rsidR="002B00E7" w:rsidRDefault="002B00E7" w:rsidP="00D567F1">
      <w:pPr>
        <w:jc w:val="both"/>
        <w:rPr>
          <w:lang w:val="hr-BA"/>
        </w:rPr>
      </w:pPr>
    </w:p>
    <w:p w:rsidR="002B00E7" w:rsidRDefault="00D567F1" w:rsidP="00D567F1">
      <w:pPr>
        <w:jc w:val="both"/>
        <w:rPr>
          <w:lang w:val="hr-BA"/>
        </w:rPr>
      </w:pPr>
      <w:r>
        <w:rPr>
          <w:lang w:val="hr-BA"/>
        </w:rPr>
        <w:lastRenderedPageBreak/>
        <w:tab/>
      </w:r>
      <w:r w:rsidR="002B00E7">
        <w:rPr>
          <w:lang w:val="hr-BA"/>
        </w:rPr>
        <w:t xml:space="preserve">U sklopu građanskog referata je i privredni referat na koji su rasporedom poslova raspoređene dvije sutkinje građanskog odjela sa 50% predmeta . Priliv u zadnje tri godine je smanjen tako da je referat ažuran na godišnjem nivou  jer tijekom godine zaprimljeno je 211 </w:t>
      </w:r>
      <w:proofErr w:type="spellStart"/>
      <w:r w:rsidR="002B00E7">
        <w:rPr>
          <w:lang w:val="hr-BA"/>
        </w:rPr>
        <w:t>Pž</w:t>
      </w:r>
      <w:proofErr w:type="spellEnd"/>
      <w:r w:rsidR="002B00E7">
        <w:rPr>
          <w:lang w:val="hr-BA"/>
        </w:rPr>
        <w:t xml:space="preserve"> predmeta , preneseno iz 2020.godine 157, što znači da je ukupno bilo za rješavanje  u 2021.godini 368 predmeta, riješeno 187 predmeta a ostalo za rješavati 156 </w:t>
      </w:r>
      <w:proofErr w:type="spellStart"/>
      <w:r w:rsidR="002B00E7">
        <w:rPr>
          <w:lang w:val="hr-BA"/>
        </w:rPr>
        <w:t>Pž</w:t>
      </w:r>
      <w:proofErr w:type="spellEnd"/>
      <w:r w:rsidR="002B00E7">
        <w:rPr>
          <w:lang w:val="hr-BA"/>
        </w:rPr>
        <w:t xml:space="preserve">,  predmeta što je  manje od  godišnje norme suca na  tom referatu. </w:t>
      </w:r>
    </w:p>
    <w:p w:rsidR="002B00E7" w:rsidRDefault="002B00E7" w:rsidP="00D567F1">
      <w:pPr>
        <w:jc w:val="both"/>
        <w:rPr>
          <w:lang w:val="hr-BA"/>
        </w:rPr>
      </w:pPr>
    </w:p>
    <w:p w:rsidR="002B00E7" w:rsidRDefault="002B00E7" w:rsidP="002B00E7">
      <w:pPr>
        <w:jc w:val="both"/>
        <w:rPr>
          <w:lang w:val="hr-BA"/>
        </w:rPr>
      </w:pPr>
      <w:r>
        <w:rPr>
          <w:b/>
          <w:bCs/>
          <w:lang w:val="hr-BA"/>
        </w:rPr>
        <w:t xml:space="preserve">            </w:t>
      </w:r>
      <w:r>
        <w:rPr>
          <w:lang w:val="hr-BA"/>
        </w:rPr>
        <w:t>Na upravni referat raspoređena su dva suca jer je jedna sutkinja 01.05.2021.godine otišla u mirovinu (koja je bila i predsjednik odjela)  i jedna stručna suradnica koja je 17.05.2021.godine izabrana za tajnika/sekretara suda, tako da je na upravnom referatu ostale dvije sutkinje, a priliv predmeta tijekom 2021.godine povećan i to za 145 predmeta., tako da ovaj sud čeka imenovanje 3 nova suca od kojih dva će biti odmah raspoređena na upravni referat.</w:t>
      </w:r>
    </w:p>
    <w:p w:rsidR="002B00E7" w:rsidRDefault="002B00E7" w:rsidP="002B00E7">
      <w:pPr>
        <w:jc w:val="both"/>
        <w:rPr>
          <w:lang w:val="hr-BA"/>
        </w:rPr>
      </w:pPr>
      <w:r>
        <w:rPr>
          <w:lang w:val="hr-BA"/>
        </w:rPr>
        <w:t xml:space="preserve">  </w:t>
      </w:r>
    </w:p>
    <w:p w:rsidR="002B00E7" w:rsidRDefault="002B00E7" w:rsidP="002B00E7">
      <w:pPr>
        <w:jc w:val="both"/>
        <w:rPr>
          <w:lang w:val="hr-BA"/>
        </w:rPr>
      </w:pPr>
      <w:r>
        <w:rPr>
          <w:b/>
          <w:bCs/>
          <w:lang w:val="hr-BA"/>
        </w:rPr>
        <w:t xml:space="preserve">            </w:t>
      </w:r>
      <w:r>
        <w:rPr>
          <w:lang w:val="hr-BA"/>
        </w:rPr>
        <w:t>Sud je u 2021. godini primio 56 drugostupanjska prekršajna  predmeta a  što ukazuje na činjenica da na ovom referatu priliv predmeta iz godine u godinu je smanjen. U 2021.godini završen je 51 predmet i 6 predmeta koji su primljeni u ovaj sud krajem 2021.godine su preneseni u 2022.godinu.</w:t>
      </w:r>
    </w:p>
    <w:p w:rsidR="002B00E7" w:rsidRDefault="002B00E7" w:rsidP="002B00E7">
      <w:pPr>
        <w:jc w:val="both"/>
        <w:rPr>
          <w:lang w:val="hr-BA"/>
        </w:rPr>
      </w:pPr>
    </w:p>
    <w:p w:rsidR="002B00E7" w:rsidRDefault="002B00E7" w:rsidP="002B00E7">
      <w:pPr>
        <w:jc w:val="both"/>
        <w:rPr>
          <w:lang w:val="hr-BA"/>
        </w:rPr>
      </w:pPr>
      <w:r>
        <w:rPr>
          <w:lang w:val="hr-BA"/>
        </w:rPr>
        <w:t xml:space="preserve">            Ovaj sud će tijekom 2022.godine zaprimiti i 9.000 komunalnih predmeta Općinskog suda Mostar o kojima će ovaj sud odlučivati o delegaciji tih predmeta Općinskim sudovima Čapljina, Čitluk i Konjic a sve radi rasterećenja Općinskog suda Mostar a i nedovoljnog broja predmeta u radu.  </w:t>
      </w:r>
    </w:p>
    <w:p w:rsidR="002B00E7" w:rsidRDefault="002B00E7" w:rsidP="002B00E7">
      <w:pPr>
        <w:jc w:val="both"/>
        <w:rPr>
          <w:b/>
          <w:bCs/>
          <w:lang w:val="hr-BA"/>
        </w:rPr>
      </w:pPr>
    </w:p>
    <w:p w:rsidR="002B00E7" w:rsidRDefault="002B00E7" w:rsidP="002B00E7">
      <w:pPr>
        <w:jc w:val="both"/>
        <w:rPr>
          <w:b/>
          <w:bCs/>
          <w:lang w:val="hr-BA"/>
        </w:rPr>
      </w:pPr>
    </w:p>
    <w:p w:rsidR="002B00E7" w:rsidRDefault="002B00E7" w:rsidP="002B00E7">
      <w:pPr>
        <w:jc w:val="center"/>
        <w:rPr>
          <w:b/>
          <w:bCs/>
          <w:lang w:val="hr-BA"/>
        </w:rPr>
      </w:pPr>
      <w:r>
        <w:rPr>
          <w:b/>
          <w:bCs/>
          <w:lang w:val="hr-BA"/>
        </w:rPr>
        <w:t>REZULTATI RADA PO POJEDINIM SUDSKIM REFERATIMA</w:t>
      </w:r>
    </w:p>
    <w:p w:rsidR="002B00E7" w:rsidRDefault="002B00E7" w:rsidP="002B00E7">
      <w:pPr>
        <w:jc w:val="center"/>
        <w:rPr>
          <w:b/>
          <w:bCs/>
          <w:lang w:val="hr-BA"/>
        </w:rPr>
      </w:pPr>
    </w:p>
    <w:p w:rsidR="002B00E7" w:rsidRDefault="002B00E7" w:rsidP="002B00E7">
      <w:pPr>
        <w:jc w:val="center"/>
        <w:rPr>
          <w:b/>
          <w:bCs/>
          <w:lang w:val="hr-BA"/>
        </w:rPr>
      </w:pPr>
      <w:r>
        <w:rPr>
          <w:b/>
          <w:bCs/>
          <w:lang w:val="hr-BA"/>
        </w:rPr>
        <w:t>KAZNENO-PRAVNA OBLAST</w:t>
      </w:r>
    </w:p>
    <w:p w:rsidR="002B00E7" w:rsidRDefault="002B00E7" w:rsidP="002B00E7">
      <w:pPr>
        <w:jc w:val="both"/>
        <w:rPr>
          <w:b/>
          <w:bCs/>
          <w:lang w:val="hr-BA"/>
        </w:rPr>
      </w:pPr>
    </w:p>
    <w:p w:rsidR="002B00E7" w:rsidRDefault="002B00E7" w:rsidP="002B00E7">
      <w:pPr>
        <w:jc w:val="both"/>
        <w:rPr>
          <w:b/>
          <w:bCs/>
          <w:lang w:val="hr-BA"/>
        </w:rPr>
      </w:pPr>
    </w:p>
    <w:p w:rsidR="002B00E7" w:rsidRDefault="002B00E7" w:rsidP="002B00E7">
      <w:pPr>
        <w:jc w:val="both"/>
        <w:rPr>
          <w:lang w:val="hr-BA"/>
        </w:rPr>
      </w:pPr>
      <w:r>
        <w:rPr>
          <w:lang w:val="hr-BA"/>
        </w:rPr>
        <w:t xml:space="preserve">            U ovoj oblasti, sud je u izvještajnom periodu ukupno u radu imao 414  predmeta iz kazneno pravne oblasti, u 2021.godinu </w:t>
      </w:r>
      <w:proofErr w:type="spellStart"/>
      <w:r>
        <w:rPr>
          <w:lang w:val="hr-BA"/>
        </w:rPr>
        <w:t>prenesenp</w:t>
      </w:r>
      <w:proofErr w:type="spellEnd"/>
      <w:r>
        <w:rPr>
          <w:lang w:val="hr-BA"/>
        </w:rPr>
        <w:t xml:space="preserve"> 69 predmeta dok je primljeno 348  predmeta, a na kraju 2021.godine  ostala su 67 neriješena predmeta. Na  prekršajnom referatu prenesen jedan predmet, zaprimljeno 56 </w:t>
      </w:r>
      <w:proofErr w:type="spellStart"/>
      <w:r>
        <w:rPr>
          <w:lang w:val="hr-BA"/>
        </w:rPr>
        <w:t>Pžp</w:t>
      </w:r>
      <w:proofErr w:type="spellEnd"/>
      <w:r>
        <w:rPr>
          <w:lang w:val="hr-BA"/>
        </w:rPr>
        <w:t xml:space="preserve"> predmeta o ukupno u radu bilo 57 predmeta, riješen 51 predmet i   6 predmet nije riješeno u 2021. godini.</w:t>
      </w:r>
    </w:p>
    <w:p w:rsidR="002B00E7" w:rsidRDefault="002B00E7" w:rsidP="002B00E7">
      <w:pPr>
        <w:jc w:val="both"/>
        <w:rPr>
          <w:lang w:val="hr-BA"/>
        </w:rPr>
      </w:pPr>
      <w:r>
        <w:rPr>
          <w:lang w:val="hr-BA"/>
        </w:rPr>
        <w:t xml:space="preserve">            </w:t>
      </w:r>
    </w:p>
    <w:p w:rsidR="002B00E7" w:rsidRDefault="002B00E7" w:rsidP="002B00E7">
      <w:pPr>
        <w:jc w:val="both"/>
        <w:rPr>
          <w:lang w:val="hr-BA"/>
        </w:rPr>
      </w:pPr>
      <w:r>
        <w:rPr>
          <w:lang w:val="hr-BA"/>
        </w:rPr>
        <w:t xml:space="preserve">            U 2021.godini prema </w:t>
      </w:r>
      <w:proofErr w:type="spellStart"/>
      <w:r>
        <w:rPr>
          <w:lang w:val="hr-BA"/>
        </w:rPr>
        <w:t>Upustvu</w:t>
      </w:r>
      <w:proofErr w:type="spellEnd"/>
      <w:r>
        <w:rPr>
          <w:lang w:val="hr-BA"/>
        </w:rPr>
        <w:t xml:space="preserve"> VSTV-a sačinjen je i plan za rješavanje predmeta i na kaznenom referatu i to kvartalni za drugostupanjske predmete </w:t>
      </w:r>
      <w:proofErr w:type="spellStart"/>
      <w:r>
        <w:rPr>
          <w:lang w:val="hr-BA"/>
        </w:rPr>
        <w:t>Kž</w:t>
      </w:r>
      <w:proofErr w:type="spellEnd"/>
      <w:r>
        <w:rPr>
          <w:lang w:val="hr-BA"/>
        </w:rPr>
        <w:t xml:space="preserve"> i godišnji plan za prvostupanjske K predmete u koji plan ne ulaze predmeti ratnih zločina niti predmeti sa procesnim smetnjama. Na planu za sva IV kvartala 22 drugostupanjska kaznena  predmeta   i na godišnjem planu podijeljeno je 10 </w:t>
      </w:r>
      <w:proofErr w:type="spellStart"/>
      <w:r>
        <w:rPr>
          <w:lang w:val="hr-BA"/>
        </w:rPr>
        <w:t>kazenenih</w:t>
      </w:r>
      <w:proofErr w:type="spellEnd"/>
      <w:r>
        <w:rPr>
          <w:lang w:val="hr-BA"/>
        </w:rPr>
        <w:t xml:space="preserve"> predmeta, a riješeno ukupno 23 predmeta, što je dobar rezultat i kolektivna norma odjela je 78,13 %.  </w:t>
      </w:r>
    </w:p>
    <w:p w:rsidR="002B00E7" w:rsidRDefault="002B00E7" w:rsidP="002B00E7">
      <w:pPr>
        <w:jc w:val="both"/>
        <w:rPr>
          <w:lang w:val="hr-BA"/>
        </w:rPr>
      </w:pPr>
    </w:p>
    <w:p w:rsidR="002B00E7" w:rsidRDefault="002B00E7" w:rsidP="002B00E7">
      <w:pPr>
        <w:jc w:val="both"/>
        <w:rPr>
          <w:lang w:val="hr-BA"/>
        </w:rPr>
      </w:pPr>
      <w:r>
        <w:rPr>
          <w:lang w:val="hr-BA"/>
        </w:rPr>
        <w:t xml:space="preserve">            U 2021.godini ukupno je na kaznenom referatu riješeno 350 predmeta,  od toga 8 K predmeta ratnih zločina, 12 K predmeta, 49 drugostupanjskih </w:t>
      </w:r>
      <w:proofErr w:type="spellStart"/>
      <w:r>
        <w:rPr>
          <w:lang w:val="hr-BA"/>
        </w:rPr>
        <w:t>Kž</w:t>
      </w:r>
      <w:proofErr w:type="spellEnd"/>
      <w:r>
        <w:rPr>
          <w:lang w:val="hr-BA"/>
        </w:rPr>
        <w:t xml:space="preserve"> predmeta, </w:t>
      </w:r>
      <w:proofErr w:type="spellStart"/>
      <w:r>
        <w:rPr>
          <w:lang w:val="hr-BA"/>
        </w:rPr>
        <w:t>Kv</w:t>
      </w:r>
      <w:proofErr w:type="spellEnd"/>
      <w:r>
        <w:rPr>
          <w:lang w:val="hr-BA"/>
        </w:rPr>
        <w:t xml:space="preserve"> 92 predmeta, </w:t>
      </w:r>
      <w:proofErr w:type="spellStart"/>
      <w:r>
        <w:rPr>
          <w:lang w:val="hr-BA"/>
        </w:rPr>
        <w:t>Kps</w:t>
      </w:r>
      <w:proofErr w:type="spellEnd"/>
      <w:r>
        <w:rPr>
          <w:lang w:val="hr-BA"/>
        </w:rPr>
        <w:t xml:space="preserve"> 29 predmeta, </w:t>
      </w:r>
      <w:proofErr w:type="spellStart"/>
      <w:r>
        <w:rPr>
          <w:lang w:val="hr-BA"/>
        </w:rPr>
        <w:t>Kpp</w:t>
      </w:r>
      <w:proofErr w:type="spellEnd"/>
      <w:r>
        <w:rPr>
          <w:lang w:val="hr-BA"/>
        </w:rPr>
        <w:t xml:space="preserve"> 79 predmeta  i ostalih kao što je dole navedeno u tabeli.</w:t>
      </w:r>
    </w:p>
    <w:p w:rsidR="002B00E7" w:rsidRDefault="002B00E7" w:rsidP="002B00E7">
      <w:pPr>
        <w:jc w:val="both"/>
        <w:rPr>
          <w:lang w:val="hr-BA"/>
        </w:rPr>
      </w:pPr>
    </w:p>
    <w:p w:rsidR="002B00E7" w:rsidRDefault="002B00E7" w:rsidP="002B00E7">
      <w:pPr>
        <w:jc w:val="both"/>
        <w:rPr>
          <w:lang w:val="hr-BA"/>
        </w:rPr>
      </w:pPr>
      <w:r>
        <w:rPr>
          <w:lang w:val="hr-BA"/>
        </w:rPr>
        <w:t xml:space="preserve">            Ako se promatraju rezultati rada na kaznenom referatu, stanje se može iskazati tabelarno kako slijedi: </w:t>
      </w:r>
    </w:p>
    <w:p w:rsidR="002B00E7" w:rsidRDefault="002B00E7" w:rsidP="002B00E7">
      <w:pPr>
        <w:jc w:val="both"/>
        <w:rPr>
          <w:lang w:val="hr-BA"/>
        </w:rPr>
      </w:pPr>
    </w:p>
    <w:p w:rsidR="002B00E7" w:rsidRDefault="002B00E7" w:rsidP="002B00E7">
      <w:pPr>
        <w:jc w:val="both"/>
        <w:rPr>
          <w:i/>
          <w:iCs/>
          <w:lang w:val="hr-BA"/>
        </w:rPr>
      </w:pPr>
      <w:r>
        <w:rPr>
          <w:i/>
          <w:iCs/>
          <w:lang w:val="hr-BA"/>
        </w:rPr>
        <w:lastRenderedPageBreak/>
        <w:t>Tabelarni prikaz protoka predmeta kaznenog i prekršajnog referata u 2021.godini</w:t>
      </w:r>
    </w:p>
    <w:p w:rsidR="002B00E7" w:rsidRDefault="002B00E7" w:rsidP="002B00E7">
      <w:pPr>
        <w:jc w:val="both"/>
        <w:rPr>
          <w:lang w:val="hr-BA"/>
        </w:rPr>
      </w:pPr>
    </w:p>
    <w:tbl>
      <w:tblPr>
        <w:tblW w:w="9750" w:type="dxa"/>
        <w:tblInd w:w="-252" w:type="dxa"/>
        <w:tblCellMar>
          <w:left w:w="0" w:type="dxa"/>
          <w:right w:w="0" w:type="dxa"/>
        </w:tblCellMar>
        <w:tblLook w:val="04A0" w:firstRow="1" w:lastRow="0" w:firstColumn="1" w:lastColumn="0" w:noHBand="0" w:noVBand="1"/>
      </w:tblPr>
      <w:tblGrid>
        <w:gridCol w:w="1077"/>
        <w:gridCol w:w="1320"/>
        <w:gridCol w:w="15"/>
        <w:gridCol w:w="1368"/>
        <w:gridCol w:w="1440"/>
        <w:gridCol w:w="1439"/>
        <w:gridCol w:w="1427"/>
        <w:gridCol w:w="1664"/>
      </w:tblGrid>
      <w:tr w:rsidR="002B00E7" w:rsidTr="002B00E7">
        <w:tc>
          <w:tcPr>
            <w:tcW w:w="10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 b.</w:t>
            </w:r>
          </w:p>
        </w:tc>
        <w:tc>
          <w:tcPr>
            <w:tcW w:w="133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Referat</w:t>
            </w:r>
          </w:p>
        </w:tc>
        <w:tc>
          <w:tcPr>
            <w:tcW w:w="13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Preneseno iz 2020. god.</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Zaprimljeno u 2021. god.</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Ukupno u radu u 2021.god.</w:t>
            </w:r>
          </w:p>
        </w:tc>
        <w:tc>
          <w:tcPr>
            <w:tcW w:w="14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Riješeno u 2021. god.</w:t>
            </w:r>
          </w:p>
        </w:tc>
        <w:tc>
          <w:tcPr>
            <w:tcW w:w="165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Ostalo za rješavanje u 2022. god</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Kpp</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82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79</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Kps</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3.</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Kv</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96</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92</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4.</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w:t>
            </w:r>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2B00E7" w:rsidTr="002B00E7">
        <w:trPr>
          <w:trHeight w:val="642"/>
        </w:trPr>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5.</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Rat. zločin</w:t>
            </w:r>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2B00E7" w:rsidTr="002B00E7">
        <w:trPr>
          <w:trHeight w:val="264"/>
        </w:trPr>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6.</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54</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7.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Kmž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0</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8.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Kp</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9.</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Iksž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2B00E7" w:rsidTr="002B00E7">
        <w:trPr>
          <w:trHeight w:val="269"/>
        </w:trPr>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10.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Kžk</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w:t>
            </w:r>
            <w:proofErr w:type="spellStart"/>
            <w:r>
              <w:rPr>
                <w:rFonts w:ascii="Times New Roman" w:hAnsi="Times New Roman" w:cs="Times New Roman"/>
                <w:sz w:val="24"/>
                <w:szCs w:val="24"/>
              </w:rPr>
              <w:t>Mpom</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Km-</w:t>
            </w:r>
            <w:proofErr w:type="spellStart"/>
            <w:r>
              <w:rPr>
                <w:rFonts w:ascii="Times New Roman" w:hAnsi="Times New Roman" w:cs="Times New Roman"/>
                <w:sz w:val="24"/>
                <w:szCs w:val="24"/>
              </w:rPr>
              <w:t>Mpom</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13.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K-R</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14.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Pžp</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57</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51</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both"/>
              <w:rPr>
                <w:rFonts w:ascii="Times New Roman" w:hAnsi="Times New Roman" w:cs="Times New Roman"/>
                <w:sz w:val="24"/>
                <w:szCs w:val="24"/>
              </w:rPr>
            </w:pP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UKUPNO</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404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474</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401</w:t>
            </w:r>
          </w:p>
        </w:tc>
        <w:tc>
          <w:tcPr>
            <w:tcW w:w="165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73</w:t>
            </w:r>
          </w:p>
        </w:tc>
      </w:tr>
      <w:tr w:rsidR="002B00E7" w:rsidTr="002B00E7">
        <w:tc>
          <w:tcPr>
            <w:tcW w:w="1080" w:type="dxa"/>
            <w:vAlign w:val="center"/>
            <w:hideMark/>
          </w:tcPr>
          <w:p w:rsidR="002B00E7" w:rsidRDefault="002B00E7"/>
        </w:tc>
        <w:tc>
          <w:tcPr>
            <w:tcW w:w="1320" w:type="dxa"/>
            <w:vAlign w:val="center"/>
            <w:hideMark/>
          </w:tcPr>
          <w:p w:rsidR="002B00E7" w:rsidRDefault="002B00E7">
            <w:pPr>
              <w:rPr>
                <w:rFonts w:eastAsia="Times New Roman"/>
                <w:sz w:val="20"/>
                <w:szCs w:val="20"/>
                <w:lang w:eastAsia="bs-Latn-BA"/>
              </w:rPr>
            </w:pPr>
          </w:p>
        </w:tc>
        <w:tc>
          <w:tcPr>
            <w:tcW w:w="15" w:type="dxa"/>
            <w:vAlign w:val="center"/>
            <w:hideMark/>
          </w:tcPr>
          <w:p w:rsidR="002B00E7" w:rsidRDefault="002B00E7">
            <w:pPr>
              <w:rPr>
                <w:rFonts w:eastAsia="Times New Roman"/>
                <w:sz w:val="20"/>
                <w:szCs w:val="20"/>
                <w:lang w:eastAsia="bs-Latn-BA"/>
              </w:rPr>
            </w:pPr>
          </w:p>
        </w:tc>
        <w:tc>
          <w:tcPr>
            <w:tcW w:w="1365" w:type="dxa"/>
            <w:vAlign w:val="center"/>
            <w:hideMark/>
          </w:tcPr>
          <w:p w:rsidR="002B00E7" w:rsidRDefault="002B00E7">
            <w:pPr>
              <w:rPr>
                <w:rFonts w:eastAsia="Times New Roman"/>
                <w:sz w:val="20"/>
                <w:szCs w:val="20"/>
                <w:lang w:eastAsia="bs-Latn-BA"/>
              </w:rPr>
            </w:pPr>
          </w:p>
        </w:tc>
        <w:tc>
          <w:tcPr>
            <w:tcW w:w="1440" w:type="dxa"/>
            <w:vAlign w:val="center"/>
            <w:hideMark/>
          </w:tcPr>
          <w:p w:rsidR="002B00E7" w:rsidRDefault="002B00E7">
            <w:pPr>
              <w:rPr>
                <w:rFonts w:eastAsia="Times New Roman"/>
                <w:sz w:val="20"/>
                <w:szCs w:val="20"/>
                <w:lang w:eastAsia="bs-Latn-BA"/>
              </w:rPr>
            </w:pPr>
          </w:p>
        </w:tc>
        <w:tc>
          <w:tcPr>
            <w:tcW w:w="1440" w:type="dxa"/>
            <w:vAlign w:val="center"/>
            <w:hideMark/>
          </w:tcPr>
          <w:p w:rsidR="002B00E7" w:rsidRDefault="002B00E7">
            <w:pPr>
              <w:rPr>
                <w:rFonts w:eastAsia="Times New Roman"/>
                <w:sz w:val="20"/>
                <w:szCs w:val="20"/>
                <w:lang w:eastAsia="bs-Latn-BA"/>
              </w:rPr>
            </w:pPr>
          </w:p>
        </w:tc>
        <w:tc>
          <w:tcPr>
            <w:tcW w:w="1425" w:type="dxa"/>
            <w:vAlign w:val="center"/>
            <w:hideMark/>
          </w:tcPr>
          <w:p w:rsidR="002B00E7" w:rsidRDefault="002B00E7">
            <w:pPr>
              <w:rPr>
                <w:rFonts w:eastAsia="Times New Roman"/>
                <w:sz w:val="20"/>
                <w:szCs w:val="20"/>
                <w:lang w:eastAsia="bs-Latn-BA"/>
              </w:rPr>
            </w:pPr>
          </w:p>
        </w:tc>
        <w:tc>
          <w:tcPr>
            <w:tcW w:w="1665" w:type="dxa"/>
            <w:vAlign w:val="center"/>
            <w:hideMark/>
          </w:tcPr>
          <w:p w:rsidR="002B00E7" w:rsidRDefault="002B00E7">
            <w:pPr>
              <w:rPr>
                <w:rFonts w:eastAsia="Times New Roman"/>
                <w:sz w:val="20"/>
                <w:szCs w:val="20"/>
                <w:lang w:eastAsia="bs-Latn-BA"/>
              </w:rPr>
            </w:pPr>
          </w:p>
        </w:tc>
      </w:tr>
    </w:tbl>
    <w:p w:rsidR="002B00E7" w:rsidRDefault="002B00E7" w:rsidP="002B00E7">
      <w:pPr>
        <w:jc w:val="both"/>
        <w:rPr>
          <w:sz w:val="28"/>
          <w:szCs w:val="28"/>
          <w:lang w:val="hr-BA"/>
        </w:rPr>
      </w:pPr>
    </w:p>
    <w:p w:rsidR="002B00E7" w:rsidRDefault="002B00E7" w:rsidP="002B00E7">
      <w:pPr>
        <w:jc w:val="both"/>
        <w:rPr>
          <w:sz w:val="28"/>
          <w:szCs w:val="28"/>
          <w:lang w:val="hr-BA"/>
        </w:rPr>
      </w:pPr>
    </w:p>
    <w:p w:rsidR="002B00E7" w:rsidRDefault="002B00E7" w:rsidP="002B00E7">
      <w:pPr>
        <w:jc w:val="both"/>
        <w:rPr>
          <w:lang w:val="hr-BA"/>
        </w:rPr>
      </w:pPr>
      <w:r>
        <w:rPr>
          <w:lang w:val="hr-BA"/>
        </w:rPr>
        <w:t xml:space="preserve">            Slijedom stanja prednjih pokazatelja i rezultata, za istaći je dobar rad suda na svim kaznenim referatima  sa samo 66 neriješenih kaznenih predmeta . Iako  je priliv na ovom referatu u 2021.godini povećan  i to u 2020.godini zaprimljena 4 predmeta ratnih zločina, a u 2021.godini 7 predmeta ratnih zločina, završenih predmeta ratnih zločina u 2021.godni je također povećan i završeno je 6 u meritumu i 2 na drugi način , tri predmeta ratnih zločina su vraćena sa Vrhovnog suda </w:t>
      </w:r>
      <w:proofErr w:type="spellStart"/>
      <w:r>
        <w:rPr>
          <w:lang w:val="hr-BA"/>
        </w:rPr>
        <w:t>FBiH</w:t>
      </w:r>
      <w:proofErr w:type="spellEnd"/>
      <w:r>
        <w:rPr>
          <w:lang w:val="hr-BA"/>
        </w:rPr>
        <w:t xml:space="preserve"> koji je odlučivao o žalbama , tako da je 1 predmet ratnog zločina potvrđen, 1 ukinut i 1 djelomično ukinut. Svi predmeti ratnih zločina i drugi kazneni predmeti su teški i složeni te zahtijevaju puno vremena i rada u zakazivanju glavnih rasprava. Priliv na predmetima „</w:t>
      </w:r>
      <w:proofErr w:type="spellStart"/>
      <w:r>
        <w:rPr>
          <w:lang w:val="hr-BA"/>
        </w:rPr>
        <w:t>Kps</w:t>
      </w:r>
      <w:proofErr w:type="spellEnd"/>
      <w:r>
        <w:rPr>
          <w:lang w:val="hr-BA"/>
        </w:rPr>
        <w:t xml:space="preserve">“ je također povećan u 2020.godini zaprimljeno 13 </w:t>
      </w:r>
      <w:proofErr w:type="spellStart"/>
      <w:r>
        <w:rPr>
          <w:lang w:val="hr-BA"/>
        </w:rPr>
        <w:t>Kps</w:t>
      </w:r>
      <w:proofErr w:type="spellEnd"/>
      <w:r>
        <w:rPr>
          <w:lang w:val="hr-BA"/>
        </w:rPr>
        <w:t xml:space="preserve"> predmeta a u 2021.godini 29 predmeta, a od toga predmeta ratnih zločina je zaprimljeno 6 a jedan predmet je razdvojen , tako da je ukupno 7 predmeta ratnih zločina zaprimljeno u 2021.godine., a riješeno je ukupno 29 </w:t>
      </w:r>
      <w:proofErr w:type="spellStart"/>
      <w:r>
        <w:rPr>
          <w:lang w:val="hr-BA"/>
        </w:rPr>
        <w:t>Kps</w:t>
      </w:r>
      <w:proofErr w:type="spellEnd"/>
      <w:r>
        <w:rPr>
          <w:lang w:val="hr-BA"/>
        </w:rPr>
        <w:t xml:space="preserve"> od toga  4 ratnih zločina, 9 predmeta </w:t>
      </w:r>
      <w:proofErr w:type="spellStart"/>
      <w:r>
        <w:rPr>
          <w:lang w:val="hr-BA"/>
        </w:rPr>
        <w:t>Kps</w:t>
      </w:r>
      <w:proofErr w:type="spellEnd"/>
      <w:r>
        <w:rPr>
          <w:lang w:val="hr-BA"/>
        </w:rPr>
        <w:t xml:space="preserve"> je riješeno presudom  po osnovu sporazuma o priznanju krivnje, a ostali su u meritumu, tj. prešli u K fazu. Što se tiče ostalih kaznenih djela povećan je broj predmeta Nedozvoljena proizvodnja i stavljanje u promet opojnih droga (7 predmeta zaprimljeno), Razbojništvo 5 predmeta, 3 predmeta zbog kaznenog djela Ubistva , 1 predmet Teško djelo protiv sigurnosti javnog prometa i dr.  Predmeti ratni zločina se uzimaju </w:t>
      </w:r>
      <w:proofErr w:type="spellStart"/>
      <w:r>
        <w:rPr>
          <w:lang w:val="hr-BA"/>
        </w:rPr>
        <w:t>prioritno</w:t>
      </w:r>
      <w:proofErr w:type="spellEnd"/>
      <w:r>
        <w:rPr>
          <w:lang w:val="hr-BA"/>
        </w:rPr>
        <w:t xml:space="preserve"> u rad  jer po Revidiranoj državnoj strategiji za rad po predmetima ratnih zločina rok za završavanje istih je kraj 2023.godine, ali zbog nemogućnosti zakazivanja gl. rasprava i svjedoka koji se nalaze u inozemstvu suci ovog suda uz predmete ratnih zločina, imaju i kvartalni plan rješavanja predmeta „</w:t>
      </w:r>
      <w:proofErr w:type="spellStart"/>
      <w:r>
        <w:rPr>
          <w:lang w:val="hr-BA"/>
        </w:rPr>
        <w:t>Kž</w:t>
      </w:r>
      <w:proofErr w:type="spellEnd"/>
      <w:r>
        <w:rPr>
          <w:lang w:val="hr-BA"/>
        </w:rPr>
        <w:t xml:space="preserve">“ i godišnji plan rješavanja predmeta u koji ulaze svi drugi kazneni predmeti a posebno  hitni pritvorski predmet.  Na kaznenom prvostupanjski referat  rade dva suca, s tim da je sudac Elis </w:t>
      </w:r>
      <w:proofErr w:type="spellStart"/>
      <w:r>
        <w:rPr>
          <w:lang w:val="hr-BA"/>
        </w:rPr>
        <w:t>Sultanić</w:t>
      </w:r>
      <w:proofErr w:type="spellEnd"/>
      <w:r>
        <w:rPr>
          <w:lang w:val="hr-BA"/>
        </w:rPr>
        <w:t xml:space="preserve"> zadužen osim sa kaznenim i  sa građanskim referatom, te da su dvije sutkinje raspoređene jednim dijelom na kazneni referat tako što je jedna zadužena za </w:t>
      </w:r>
      <w:proofErr w:type="spellStart"/>
      <w:r>
        <w:rPr>
          <w:lang w:val="hr-BA"/>
        </w:rPr>
        <w:t>Kpp</w:t>
      </w:r>
      <w:proofErr w:type="spellEnd"/>
      <w:r>
        <w:rPr>
          <w:lang w:val="hr-BA"/>
        </w:rPr>
        <w:t xml:space="preserve"> i druga za </w:t>
      </w:r>
      <w:proofErr w:type="spellStart"/>
      <w:r>
        <w:rPr>
          <w:lang w:val="hr-BA"/>
        </w:rPr>
        <w:t>Kps</w:t>
      </w:r>
      <w:proofErr w:type="spellEnd"/>
      <w:r>
        <w:rPr>
          <w:lang w:val="hr-BA"/>
        </w:rPr>
        <w:t xml:space="preserve"> predmete i  da  suci sa drugih </w:t>
      </w:r>
      <w:r>
        <w:rPr>
          <w:lang w:val="hr-BA"/>
        </w:rPr>
        <w:lastRenderedPageBreak/>
        <w:t xml:space="preserve">referata su stavljeni na raspored </w:t>
      </w:r>
      <w:proofErr w:type="spellStart"/>
      <w:r>
        <w:rPr>
          <w:lang w:val="hr-BA"/>
        </w:rPr>
        <w:t>dežure</w:t>
      </w:r>
      <w:proofErr w:type="spellEnd"/>
      <w:r>
        <w:rPr>
          <w:lang w:val="hr-BA"/>
        </w:rPr>
        <w:t xml:space="preserve"> i učestvuju  u prvostupanjskim i drugostupanjskim  kaznenim vijećima. </w:t>
      </w:r>
    </w:p>
    <w:p w:rsidR="002B00E7" w:rsidRDefault="002B00E7" w:rsidP="002B00E7">
      <w:pPr>
        <w:jc w:val="both"/>
        <w:rPr>
          <w:lang w:val="hr-BA"/>
        </w:rPr>
      </w:pPr>
    </w:p>
    <w:p w:rsidR="002B00E7" w:rsidRDefault="002B00E7" w:rsidP="002B00E7">
      <w:pPr>
        <w:jc w:val="both"/>
        <w:rPr>
          <w:lang w:val="hr-BA"/>
        </w:rPr>
      </w:pPr>
      <w:r>
        <w:rPr>
          <w:lang w:val="hr-BA"/>
        </w:rPr>
        <w:t xml:space="preserve">            Što se tiče 12 prvostupanjskih kaznenih predmeta   (K) predmeta koji su završena   su krivična djela organizirani kriminal (1 predmet završen – sporazumom o priznanju krivnje ), Razbojništvo (1 predmet završen po sporazumu o priznanju krivnje , 4 predmeta Zloupotreba položaja ili </w:t>
      </w:r>
      <w:proofErr w:type="spellStart"/>
      <w:r>
        <w:rPr>
          <w:lang w:val="hr-BA"/>
        </w:rPr>
        <w:t>ovlašćenja</w:t>
      </w:r>
      <w:proofErr w:type="spellEnd"/>
      <w:r>
        <w:rPr>
          <w:lang w:val="hr-BA"/>
        </w:rPr>
        <w:t xml:space="preserve"> od kojih su dva postupka obustavljena zbog smrti optuženih, 3 predmeta Ubistava i to 2 predmeta riješena sa odlukama u meritumu i 1 predmet riješen sporazumom  o priznanju krivnje, 1 predmet Teške tjelesne ozlijede  sa odlukom u meritumu, 1 predmet Teško djelo protiv sigurnosti javnog prometa sa odlukom u meritumu i 1 predmet Neovlaštena proizvodnja i stavljanje u promet opojnih droga sa sporazumom o priznanju krivnje.   </w:t>
      </w:r>
    </w:p>
    <w:p w:rsidR="002B00E7" w:rsidRDefault="002B00E7" w:rsidP="002B00E7">
      <w:pPr>
        <w:jc w:val="both"/>
        <w:rPr>
          <w:lang w:val="hr-BA"/>
        </w:rPr>
      </w:pPr>
    </w:p>
    <w:p w:rsidR="002B00E7" w:rsidRDefault="002B00E7" w:rsidP="002B00E7">
      <w:pPr>
        <w:ind w:firstLine="720"/>
        <w:jc w:val="both"/>
        <w:rPr>
          <w:lang w:val="hr-BA"/>
        </w:rPr>
      </w:pPr>
      <w:r>
        <w:rPr>
          <w:lang w:val="hr-BA"/>
        </w:rPr>
        <w:t>Na prekršajnom referatu koji je sastavni dio kaznenog odjela  rade dva suca i stručni  suradnik na prekršajnom referatu i ovaj referat  ima povećan  priliv u 2021.godini 14  predmeta,  tako da je u ovaj sud zaprimljeno ukupno 56 predmeta , jedan predmet je prenesen u 2021.godinu , ukupno u radu bilo 57 predmeta, riješen 51 predmet ostalo za rješavanje u 2022.godini 6 predmeta koji su zaprimljeni krajem godine.  Ovaj sud je zaprimio jedan prekršajni predmet po žalbi u kojem je već nastupila zastara vođenja prekršajnog postupka, tako da je uređujući sudac donio rješenje o obustavi prekršajnog postupka po žalbi zbog apsolutne zastare prekršajnog postupka.</w:t>
      </w:r>
    </w:p>
    <w:p w:rsidR="002B00E7" w:rsidRDefault="002B00E7" w:rsidP="002B00E7">
      <w:pPr>
        <w:ind w:firstLine="720"/>
        <w:jc w:val="both"/>
        <w:rPr>
          <w:lang w:val="hr-BA"/>
        </w:rPr>
      </w:pPr>
    </w:p>
    <w:p w:rsidR="002B00E7" w:rsidRDefault="002B00E7" w:rsidP="002B00E7">
      <w:pPr>
        <w:ind w:firstLine="720"/>
        <w:jc w:val="both"/>
        <w:rPr>
          <w:lang w:val="hr-BA"/>
        </w:rPr>
      </w:pPr>
      <w:r>
        <w:rPr>
          <w:lang w:val="hr-BA"/>
        </w:rPr>
        <w:t xml:space="preserve">Na Planu rješavanja predmeta na kaznenom odjelu (kvartalni i godišnji plan) podijeljeno je 39 predmeta , riješena 32 predmeta, 7 predmeta nije završeno , što znači da je plan rješavanja predmeta izvršen sa 82,09%, što je veoma dobar rezultat , jer isti ima i kvartalni i godišnji plan rješavanja starih predmeta, a predmetni Ratnih zločina i Organiziranog kriminala se ne stavljaju prema </w:t>
      </w:r>
      <w:proofErr w:type="spellStart"/>
      <w:r>
        <w:rPr>
          <w:lang w:val="hr-BA"/>
        </w:rPr>
        <w:t>Upustvu</w:t>
      </w:r>
      <w:proofErr w:type="spellEnd"/>
      <w:r>
        <w:rPr>
          <w:lang w:val="hr-BA"/>
        </w:rPr>
        <w:t xml:space="preserve"> VSTV-a na plan, a isti prema Revidiranoj državnoj strategiji za rad po predmetima ratnih zločina imaju prioritet u rad, tako da se može reći da je ovaj referat na planu ostvario veoma dobar rezultat. </w:t>
      </w:r>
    </w:p>
    <w:p w:rsidR="002B00E7" w:rsidRDefault="002B00E7" w:rsidP="002B00E7">
      <w:pPr>
        <w:ind w:firstLine="720"/>
        <w:jc w:val="both"/>
        <w:rPr>
          <w:lang w:val="hr-BA"/>
        </w:rPr>
      </w:pPr>
    </w:p>
    <w:p w:rsidR="002B00E7" w:rsidRDefault="002B00E7" w:rsidP="002B00E7">
      <w:pPr>
        <w:ind w:firstLine="720"/>
        <w:jc w:val="both"/>
        <w:rPr>
          <w:lang w:val="hr-BA"/>
        </w:rPr>
      </w:pPr>
      <w:r>
        <w:rPr>
          <w:lang w:val="hr-BA"/>
        </w:rPr>
        <w:t xml:space="preserve">Sud je u punoj mjeri koristio opremu audio-vizualno snimanje i suđenje i osiguranje dokaza,  izrada transkripta zapisnika, tako da su suđenja znatno ubrzana i efikasnija, pogotovo imajući u vidu da je teret dokazivanja u kaznenom postupku prešao na stranke u postupku što je znatno rasteretilo sud u smislu veće angažiranosti i koncentracije na vođenje postupka i izradu odluka.  </w:t>
      </w:r>
    </w:p>
    <w:p w:rsidR="002B00E7" w:rsidRDefault="002B00E7" w:rsidP="002B00E7">
      <w:pPr>
        <w:jc w:val="both"/>
        <w:rPr>
          <w:lang w:val="hr-BA"/>
        </w:rPr>
      </w:pPr>
      <w:r>
        <w:rPr>
          <w:lang w:val="hr-BA"/>
        </w:rPr>
        <w:t xml:space="preserve">            .   </w:t>
      </w:r>
    </w:p>
    <w:p w:rsidR="002B00E7" w:rsidRDefault="002B00E7" w:rsidP="002B00E7">
      <w:pPr>
        <w:jc w:val="both"/>
        <w:rPr>
          <w:lang w:val="hr-BA"/>
        </w:rPr>
      </w:pPr>
      <w:r>
        <w:rPr>
          <w:lang w:val="hr-BA"/>
        </w:rPr>
        <w:t>            Na kaznenom referatu sud je dosljedno poštivao zakonske rokove za potvrđivanje i dostavu optužnice, zakazivanje ročišta i rasprava, donošenje i izradu odluka, određivanja i produženja i kontrole pritvora, zakazivanja drugostupanjskih sjednica vijeća.</w:t>
      </w:r>
    </w:p>
    <w:p w:rsidR="002B00E7" w:rsidRDefault="002B00E7" w:rsidP="002B00E7">
      <w:pPr>
        <w:jc w:val="both"/>
        <w:rPr>
          <w:lang w:val="hr-BA"/>
        </w:rPr>
      </w:pPr>
    </w:p>
    <w:p w:rsidR="002B00E7" w:rsidRDefault="002B00E7" w:rsidP="002B00E7">
      <w:pPr>
        <w:jc w:val="both"/>
        <w:rPr>
          <w:lang w:val="hr-BA"/>
        </w:rPr>
      </w:pPr>
      <w:r>
        <w:rPr>
          <w:lang w:val="hr-BA"/>
        </w:rPr>
        <w:t xml:space="preserve">            Ovaj sud redovno dostavlja izvještaje o radu ovog suda po predmetima ratnih zločina Sudu BiH (Državna strategija za rad po predmetima ratnih zločina II-9), te izvještaje VSTV- u o predmetima ratnih zločina Akcioni pregled rada po predmetima ratnih zločina, koji se vode u ovom sudu. </w:t>
      </w:r>
    </w:p>
    <w:p w:rsidR="002B00E7" w:rsidRDefault="002B00E7" w:rsidP="002B00E7">
      <w:pPr>
        <w:jc w:val="both"/>
        <w:rPr>
          <w:lang w:val="hr-BA"/>
        </w:rPr>
      </w:pPr>
    </w:p>
    <w:p w:rsidR="002B00E7" w:rsidRDefault="002B00E7" w:rsidP="002B00E7">
      <w:pPr>
        <w:jc w:val="both"/>
        <w:rPr>
          <w:lang w:val="hr-BA"/>
        </w:rPr>
      </w:pPr>
      <w:r>
        <w:rPr>
          <w:lang w:val="hr-BA"/>
        </w:rPr>
        <w:t>            Na referatu prvostupanjskih kaznenih predmeta (K) i na referatu drugostupanjskih kaznenih (</w:t>
      </w:r>
      <w:proofErr w:type="spellStart"/>
      <w:r>
        <w:rPr>
          <w:lang w:val="hr-BA"/>
        </w:rPr>
        <w:t>Kž</w:t>
      </w:r>
      <w:proofErr w:type="spellEnd"/>
      <w:r>
        <w:rPr>
          <w:lang w:val="hr-BA"/>
        </w:rPr>
        <w:t xml:space="preserve"> i </w:t>
      </w:r>
      <w:proofErr w:type="spellStart"/>
      <w:r>
        <w:rPr>
          <w:lang w:val="hr-BA"/>
        </w:rPr>
        <w:t>Kžk</w:t>
      </w:r>
      <w:proofErr w:type="spellEnd"/>
      <w:r>
        <w:rPr>
          <w:lang w:val="hr-BA"/>
        </w:rPr>
        <w:t>, ) radila su tri suca na prekršajnom (</w:t>
      </w:r>
      <w:proofErr w:type="spellStart"/>
      <w:r>
        <w:rPr>
          <w:lang w:val="hr-BA"/>
        </w:rPr>
        <w:t>Pžp</w:t>
      </w:r>
      <w:proofErr w:type="spellEnd"/>
      <w:r>
        <w:rPr>
          <w:lang w:val="hr-BA"/>
        </w:rPr>
        <w:t>) dva suca , dok su po predmetima  prethodnog kaznenog postupka (</w:t>
      </w:r>
      <w:proofErr w:type="spellStart"/>
      <w:r>
        <w:rPr>
          <w:lang w:val="hr-BA"/>
        </w:rPr>
        <w:t>Kpp</w:t>
      </w:r>
      <w:proofErr w:type="spellEnd"/>
      <w:r>
        <w:rPr>
          <w:lang w:val="hr-BA"/>
        </w:rPr>
        <w:t>)  i prethodnog saslušanja (</w:t>
      </w:r>
      <w:proofErr w:type="spellStart"/>
      <w:r>
        <w:rPr>
          <w:lang w:val="hr-BA"/>
        </w:rPr>
        <w:t>Kps</w:t>
      </w:r>
      <w:proofErr w:type="spellEnd"/>
      <w:r>
        <w:rPr>
          <w:lang w:val="hr-BA"/>
        </w:rPr>
        <w:t xml:space="preserve">) radile dvije sutkinje koje su raspoređene na građanski referat ali su zbog malog broja sudaca na kaznenom referatu raspoređene i na kazneni referat  i ujedno su zajedno sa ostalim sucima sa građanskog </w:t>
      </w:r>
      <w:r>
        <w:rPr>
          <w:lang w:val="hr-BA"/>
        </w:rPr>
        <w:lastRenderedPageBreak/>
        <w:t xml:space="preserve">referata i dežurni suci. Po potrebi su i radili i na referatu </w:t>
      </w:r>
      <w:proofErr w:type="spellStart"/>
      <w:r>
        <w:rPr>
          <w:lang w:val="hr-BA"/>
        </w:rPr>
        <w:t>Kv</w:t>
      </w:r>
      <w:proofErr w:type="spellEnd"/>
      <w:r>
        <w:rPr>
          <w:lang w:val="hr-BA"/>
        </w:rPr>
        <w:t xml:space="preserve"> i </w:t>
      </w:r>
      <w:proofErr w:type="spellStart"/>
      <w:r>
        <w:rPr>
          <w:lang w:val="hr-BA"/>
        </w:rPr>
        <w:t>Kž</w:t>
      </w:r>
      <w:proofErr w:type="spellEnd"/>
      <w:r>
        <w:rPr>
          <w:lang w:val="hr-BA"/>
        </w:rPr>
        <w:t xml:space="preserve"> , dok je </w:t>
      </w:r>
      <w:proofErr w:type="spellStart"/>
      <w:r>
        <w:rPr>
          <w:lang w:val="hr-BA"/>
        </w:rPr>
        <w:t>Iksž</w:t>
      </w:r>
      <w:proofErr w:type="spellEnd"/>
      <w:r>
        <w:rPr>
          <w:lang w:val="hr-BA"/>
        </w:rPr>
        <w:t xml:space="preserve">  predmete radio predsjednik Suda  a u njegovoj odsutnosti zamjenica predsjednika suda Azra </w:t>
      </w:r>
      <w:proofErr w:type="spellStart"/>
      <w:r>
        <w:rPr>
          <w:lang w:val="hr-BA"/>
        </w:rPr>
        <w:t>Šunje</w:t>
      </w:r>
      <w:proofErr w:type="spellEnd"/>
      <w:r>
        <w:rPr>
          <w:lang w:val="hr-BA"/>
        </w:rPr>
        <w:t>.</w:t>
      </w:r>
    </w:p>
    <w:p w:rsidR="002B00E7" w:rsidRDefault="002B00E7" w:rsidP="002B00E7">
      <w:pPr>
        <w:jc w:val="both"/>
        <w:rPr>
          <w:lang w:val="hr-BA"/>
        </w:rPr>
      </w:pPr>
    </w:p>
    <w:p w:rsidR="002B00E7" w:rsidRDefault="002B00E7" w:rsidP="002B00E7">
      <w:pPr>
        <w:jc w:val="both"/>
        <w:rPr>
          <w:b/>
          <w:bCs/>
          <w:lang w:val="hr-BA"/>
        </w:rPr>
      </w:pPr>
    </w:p>
    <w:p w:rsidR="002B00E7" w:rsidRDefault="002B00E7" w:rsidP="002B00E7">
      <w:pPr>
        <w:jc w:val="center"/>
        <w:rPr>
          <w:b/>
          <w:bCs/>
          <w:lang w:val="hr-BA"/>
        </w:rPr>
      </w:pPr>
    </w:p>
    <w:p w:rsidR="002B00E7" w:rsidRDefault="002B00E7" w:rsidP="002B00E7">
      <w:pPr>
        <w:jc w:val="both"/>
        <w:rPr>
          <w:lang w:val="hr-BA"/>
        </w:rPr>
      </w:pPr>
    </w:p>
    <w:p w:rsidR="002B00E7" w:rsidRDefault="002B00E7" w:rsidP="002B00E7">
      <w:pPr>
        <w:jc w:val="center"/>
        <w:rPr>
          <w:b/>
          <w:bCs/>
          <w:lang w:val="hr-BA"/>
        </w:rPr>
      </w:pPr>
      <w:r>
        <w:rPr>
          <w:lang w:val="hr-BA"/>
        </w:rPr>
        <w:t xml:space="preserve">            </w:t>
      </w:r>
      <w:bookmarkStart w:id="0" w:name="_Hlk62471497"/>
      <w:r>
        <w:rPr>
          <w:b/>
          <w:bCs/>
          <w:lang w:val="hr-BA"/>
        </w:rPr>
        <w:t>GRAĐANSKA OBLAST</w:t>
      </w:r>
    </w:p>
    <w:p w:rsidR="002B00E7" w:rsidRDefault="002B00E7" w:rsidP="002B00E7">
      <w:pPr>
        <w:jc w:val="both"/>
        <w:rPr>
          <w:lang w:val="hr-BA"/>
        </w:rPr>
      </w:pPr>
    </w:p>
    <w:p w:rsidR="002B00E7" w:rsidRDefault="002B00E7" w:rsidP="002B00E7">
      <w:pPr>
        <w:jc w:val="both"/>
        <w:rPr>
          <w:lang w:val="hr-BA"/>
        </w:rPr>
      </w:pPr>
      <w:r>
        <w:rPr>
          <w:lang w:val="hr-BA"/>
        </w:rPr>
        <w:t>            U izvještajnom periodu sud je imao ukupno u radu 6415 građanskih predmeta (</w:t>
      </w:r>
      <w:proofErr w:type="spellStart"/>
      <w:r>
        <w:rPr>
          <w:lang w:val="hr-BA"/>
        </w:rPr>
        <w:t>Gž</w:t>
      </w:r>
      <w:proofErr w:type="spellEnd"/>
      <w:r>
        <w:rPr>
          <w:lang w:val="hr-BA"/>
        </w:rPr>
        <w:t xml:space="preserve"> -4269, Rsž-1686, Pž-368, V-92).  Na građanskom referatu radilo je 13 sudaca i predsjednik suda ,u kojem sklopu je i privredni referat zbog manjeg priliva predmeta a  koje predmete rade dvije sutkinje sa 50% norme . Priliv predmeta na građanskom referatu je blago  povećan i to za 190 predmeta , u 2021.godini  zaprimljeno 1795 predmeta a u 2020.godini 1605 predmeta iako je 2020.godina bila godina kada zbog </w:t>
      </w:r>
      <w:proofErr w:type="spellStart"/>
      <w:r>
        <w:rPr>
          <w:lang w:val="hr-BA"/>
        </w:rPr>
        <w:t>pandemije</w:t>
      </w:r>
      <w:proofErr w:type="spellEnd"/>
      <w:r>
        <w:rPr>
          <w:lang w:val="hr-BA"/>
        </w:rPr>
        <w:t xml:space="preserve"> priliv predmeta na svim referatima bio smanjen zbog nemogućnosti zakazivanja rasprava</w:t>
      </w:r>
      <w:r>
        <w:rPr>
          <w:b/>
          <w:bCs/>
          <w:lang w:val="hr-BA"/>
        </w:rPr>
        <w:t xml:space="preserve">. </w:t>
      </w:r>
      <w:r>
        <w:rPr>
          <w:lang w:val="hr-BA"/>
        </w:rPr>
        <w:t xml:space="preserve">Završeno je ukupno 2898 predmeta, a na kraju 2021.godine ostalo je 3517 predmeta za rješavanje u 2022.godini. Ukoliko priliv predmeta ostane na ovom nivou, ovaj referat  će skratiti trajanje postupka na manje od dvije godine  jer skoro svi suci na ovom referatu su ostvarili  normu i više od 100% što je veoma respektabilan rezultat, obzirom da su isti angažirani i na vijeća u  krivičnim predmetima te obavljaju tjednu </w:t>
      </w:r>
      <w:proofErr w:type="spellStart"/>
      <w:r>
        <w:rPr>
          <w:lang w:val="hr-BA"/>
        </w:rPr>
        <w:t>dežuru</w:t>
      </w:r>
      <w:proofErr w:type="spellEnd"/>
      <w:r>
        <w:rPr>
          <w:lang w:val="hr-BA"/>
        </w:rPr>
        <w:t>. Imajući u vidu da je prije tri godine trajanje postupka na ovom referatu  bilo 4 do 5 godina , možemo konstatirati  da ovaj sud radi maksimalno da se smanji broj neriješenih predmeta na ovom referatu.  Svaki sudac je zadužen sa cca 250 predmeta a obzirom da je godišnja norma suca na ovom referatu 198 predmeta  a svi suci, što je vidljivo iz Pregleda rada sudaca za 2021.godinu koji je sastavni dio ovog Godišnjeg narativnog izvještaja, ostvarili su veoma dobar rezultat, što pokazuje i norma odjela koja iznosi 104%. Sve naprijed navedeno je uz činjenicu  da su suci imali opravdanih odsustva bolovanja zbog zaraze  korona virusom  i drugih razloga ( što je također vidljivo u Pregledu rada sudaca za 2021.godinu). Predsjednik suda čija je godišnja norma 30%  je pored poslova sudske uprave ispunio normu u iznosu od 90,20% norme jednog suca za godinu dana. Sve ovo ukazuje  da je ovaj sud poduzeo sve aktivnosti da građanski referat smanji trajanje postupka na manje od dvije godine, a poseban pokazatelj je izvještaj o predvidim rokovima u kojem je navedeno da je ovaj sud riješio preko 1292 predmeta u predvidivom roku dok je 1504 predmeta riješeno sa prekoračenjem predvidivog roka, s napomenom da ovaj sud ne dijeli predmete po datumu zaprimanja u ovaj sud, već po inicijalnom aktu općinskih sudova .</w:t>
      </w:r>
    </w:p>
    <w:p w:rsidR="002B00E7" w:rsidRDefault="002B00E7" w:rsidP="002B00E7">
      <w:pPr>
        <w:jc w:val="both"/>
        <w:rPr>
          <w:lang w:val="hr-BA"/>
        </w:rPr>
      </w:pPr>
      <w:r>
        <w:rPr>
          <w:lang w:val="hr-BA"/>
        </w:rPr>
        <w:t xml:space="preserve">   </w:t>
      </w:r>
    </w:p>
    <w:p w:rsidR="002B00E7" w:rsidRDefault="002B00E7" w:rsidP="002B00E7">
      <w:pPr>
        <w:jc w:val="both"/>
        <w:rPr>
          <w:lang w:val="hr-BA"/>
        </w:rPr>
      </w:pPr>
      <w:r>
        <w:rPr>
          <w:lang w:val="hr-BA"/>
        </w:rPr>
        <w:t xml:space="preserve">            Na Plan rješavanja predmeta na građanskom referatu podijeljeno je ukupno 2293 predmeta, riješeno je 2288 predmeta od neriješenih predmeta  2 predmeta su proglašena nerješiva a  samo 3 predmeta nisu riješena što znači da je Plan rješavanja predmeta je  ispunjen 99,87% , što je također veoma dobar i respektabilan  rezultat. </w:t>
      </w:r>
    </w:p>
    <w:p w:rsidR="002B00E7" w:rsidRDefault="002B00E7" w:rsidP="002B00E7">
      <w:pPr>
        <w:jc w:val="both"/>
        <w:rPr>
          <w:lang w:val="hr-BA"/>
        </w:rPr>
      </w:pPr>
    </w:p>
    <w:p w:rsidR="002B00E7" w:rsidRDefault="002B00E7" w:rsidP="002B00E7">
      <w:pPr>
        <w:jc w:val="both"/>
        <w:rPr>
          <w:lang w:val="hr-BA"/>
        </w:rPr>
      </w:pPr>
      <w:r>
        <w:rPr>
          <w:lang w:val="hr-BA"/>
        </w:rPr>
        <w:t>            Kako je najveći priliv urgencija na građanskom referatu to je predsjednik suda opravdane urgencije zbog dužine trajanja postupka ukoliko  nisu ušli u Plan rješavanja predmeta prema starosti inicijalnog akta stavljao  na Listu van plana, da se smanji nezadovoljstvo stranaka zbog dužine trajanja postupka pred ovim sudom a i zbog Odluka Ustavnog suda BiH koji je također povećan broj zbog dužine trajanja postupka kojom se  nalaže Vladi HNŽ da isplati naknadu nematerijalnih naknade zbog dužine trajanja postupka.</w:t>
      </w:r>
    </w:p>
    <w:p w:rsidR="002B00E7" w:rsidRDefault="002B00E7" w:rsidP="002B00E7">
      <w:pPr>
        <w:jc w:val="both"/>
        <w:rPr>
          <w:lang w:val="hr-BA"/>
        </w:rPr>
      </w:pPr>
    </w:p>
    <w:p w:rsidR="002B00E7" w:rsidRDefault="002B00E7" w:rsidP="002B00E7">
      <w:pPr>
        <w:jc w:val="both"/>
        <w:rPr>
          <w:lang w:val="hr-BA"/>
        </w:rPr>
      </w:pPr>
      <w:r>
        <w:rPr>
          <w:lang w:val="hr-BA"/>
        </w:rPr>
        <w:t xml:space="preserve">            Na kraju moramo spomenuti da je na temelju zahtjeva predsjednika Općinskog suda Mostar da se 9.000 komunalnih  predmeta delegiraju Općinskim sudovima Čapljina, Čitluk i Konjic  predsjednik Županijskog suda Mostar – Kantonalnog suda Mostar u skladu sa čl. 50 </w:t>
      </w:r>
      <w:r>
        <w:rPr>
          <w:lang w:val="hr-BA"/>
        </w:rPr>
        <w:lastRenderedPageBreak/>
        <w:t xml:space="preserve">Zakona o parničnom postupku je dao pozitivno mišljenje tako da će ovaj sud u 2022.godini imati 9.000 „V“ predmeta koji će se iste delegirati u jednakom omjeru Općinskim sudovima Čapljina, Čitluk i Konjic , a sve zbog smanjenja velikog broja predmeta komunalni koji Općinski sud Mostar ima u radu (41.796  izvršnih predmeta). </w:t>
      </w:r>
    </w:p>
    <w:p w:rsidR="002B00E7" w:rsidRDefault="002B00E7" w:rsidP="002B00E7">
      <w:pPr>
        <w:jc w:val="both"/>
        <w:rPr>
          <w:lang w:val="hr-BA"/>
        </w:rPr>
      </w:pPr>
      <w:r>
        <w:rPr>
          <w:lang w:val="hr-BA"/>
        </w:rPr>
        <w:t> </w:t>
      </w:r>
    </w:p>
    <w:p w:rsidR="002B00E7" w:rsidRDefault="002B00E7" w:rsidP="002B00E7">
      <w:pPr>
        <w:jc w:val="both"/>
        <w:rPr>
          <w:lang w:val="hr-BA"/>
        </w:rPr>
      </w:pPr>
      <w:r>
        <w:rPr>
          <w:lang w:val="hr-BA"/>
        </w:rPr>
        <w:t>           </w:t>
      </w:r>
    </w:p>
    <w:p w:rsidR="002B00E7" w:rsidRDefault="002B00E7" w:rsidP="002B00E7">
      <w:pPr>
        <w:jc w:val="both"/>
        <w:rPr>
          <w:b/>
          <w:bCs/>
          <w:u w:val="single"/>
          <w:lang w:val="hr-BA"/>
        </w:rPr>
      </w:pPr>
      <w:r>
        <w:rPr>
          <w:b/>
          <w:bCs/>
          <w:i/>
          <w:iCs/>
          <w:lang w:val="hr-BA"/>
        </w:rPr>
        <w:t>Tabelarni prikaz protoka predmeta  drugostupanjskog  građanskog referata  (</w:t>
      </w:r>
      <w:proofErr w:type="spellStart"/>
      <w:r>
        <w:rPr>
          <w:b/>
          <w:bCs/>
          <w:i/>
          <w:iCs/>
          <w:lang w:val="hr-BA"/>
        </w:rPr>
        <w:t>Gž</w:t>
      </w:r>
      <w:proofErr w:type="spellEnd"/>
      <w:r>
        <w:rPr>
          <w:b/>
          <w:bCs/>
          <w:i/>
          <w:iCs/>
          <w:lang w:val="hr-BA"/>
        </w:rPr>
        <w:t xml:space="preserve">, </w:t>
      </w:r>
      <w:proofErr w:type="spellStart"/>
      <w:r>
        <w:rPr>
          <w:b/>
          <w:bCs/>
          <w:i/>
          <w:iCs/>
          <w:lang w:val="hr-BA"/>
        </w:rPr>
        <w:t>Rsž</w:t>
      </w:r>
      <w:proofErr w:type="spellEnd"/>
      <w:r>
        <w:rPr>
          <w:b/>
          <w:bCs/>
          <w:i/>
          <w:iCs/>
          <w:lang w:val="hr-BA"/>
        </w:rPr>
        <w:t xml:space="preserve">, V i </w:t>
      </w:r>
      <w:proofErr w:type="spellStart"/>
      <w:r>
        <w:rPr>
          <w:b/>
          <w:bCs/>
          <w:i/>
          <w:iCs/>
          <w:lang w:val="hr-BA"/>
        </w:rPr>
        <w:t>Pž</w:t>
      </w:r>
      <w:proofErr w:type="spellEnd"/>
      <w:r>
        <w:rPr>
          <w:b/>
          <w:bCs/>
          <w:u w:val="single"/>
          <w:lang w:val="hr-BA"/>
        </w:rPr>
        <w:t xml:space="preserve">) </w:t>
      </w:r>
    </w:p>
    <w:p w:rsidR="002B00E7" w:rsidRDefault="002B00E7" w:rsidP="002B00E7">
      <w:pPr>
        <w:jc w:val="both"/>
        <w:rPr>
          <w:lang w:val="hr-BA"/>
        </w:rPr>
      </w:pPr>
    </w:p>
    <w:p w:rsidR="002B00E7" w:rsidRDefault="002B00E7" w:rsidP="002B00E7">
      <w:pPr>
        <w:jc w:val="both"/>
        <w:rPr>
          <w:lang w:val="hr-BA"/>
        </w:rPr>
      </w:pPr>
      <w:r>
        <w:rPr>
          <w:lang w:val="hr-BA"/>
        </w:rPr>
        <w:t xml:space="preserve">            </w:t>
      </w:r>
    </w:p>
    <w:tbl>
      <w:tblPr>
        <w:tblW w:w="10260" w:type="dxa"/>
        <w:tblInd w:w="-252" w:type="dxa"/>
        <w:tblCellMar>
          <w:left w:w="0" w:type="dxa"/>
          <w:right w:w="0" w:type="dxa"/>
        </w:tblCellMar>
        <w:tblLook w:val="04A0" w:firstRow="1" w:lastRow="0" w:firstColumn="1" w:lastColumn="0" w:noHBand="0" w:noVBand="1"/>
      </w:tblPr>
      <w:tblGrid>
        <w:gridCol w:w="980"/>
        <w:gridCol w:w="1320"/>
        <w:gridCol w:w="1576"/>
        <w:gridCol w:w="1421"/>
        <w:gridCol w:w="1391"/>
        <w:gridCol w:w="1376"/>
        <w:gridCol w:w="2196"/>
      </w:tblGrid>
      <w:tr w:rsidR="002B00E7" w:rsidTr="002B00E7">
        <w:tc>
          <w:tcPr>
            <w:tcW w:w="10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B00E7" w:rsidRDefault="002B00E7">
            <w:pPr>
              <w:spacing w:line="252" w:lineRule="auto"/>
              <w:jc w:val="center"/>
              <w:rPr>
                <w:b/>
                <w:bCs/>
                <w:lang w:val="hr-BA"/>
              </w:rPr>
            </w:pPr>
          </w:p>
          <w:p w:rsidR="002B00E7" w:rsidRDefault="002B00E7">
            <w:pPr>
              <w:spacing w:line="252" w:lineRule="auto"/>
              <w:jc w:val="center"/>
              <w:rPr>
                <w:b/>
                <w:bCs/>
                <w:lang w:val="hr-BA"/>
              </w:rPr>
            </w:pPr>
            <w:r>
              <w:rPr>
                <w:b/>
                <w:bCs/>
                <w:lang w:val="hr-BA"/>
              </w:rPr>
              <w:t>R. b.</w:t>
            </w:r>
          </w:p>
        </w:tc>
        <w:tc>
          <w:tcPr>
            <w:tcW w:w="133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B00E7" w:rsidRDefault="002B00E7">
            <w:pPr>
              <w:spacing w:line="252" w:lineRule="auto"/>
              <w:jc w:val="center"/>
              <w:rPr>
                <w:b/>
                <w:bCs/>
                <w:lang w:val="hr-BA"/>
              </w:rPr>
            </w:pPr>
          </w:p>
          <w:p w:rsidR="002B00E7" w:rsidRDefault="002B00E7">
            <w:pPr>
              <w:spacing w:line="252" w:lineRule="auto"/>
              <w:jc w:val="center"/>
              <w:rPr>
                <w:b/>
                <w:bCs/>
                <w:lang w:val="hr-BA"/>
              </w:rPr>
            </w:pPr>
            <w:r>
              <w:rPr>
                <w:b/>
                <w:bCs/>
                <w:lang w:val="hr-BA"/>
              </w:rPr>
              <w:t>Referat</w:t>
            </w:r>
          </w:p>
        </w:tc>
        <w:tc>
          <w:tcPr>
            <w:tcW w:w="13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Tijeloteksta"/>
              <w:spacing w:line="252" w:lineRule="auto"/>
              <w:jc w:val="center"/>
              <w:rPr>
                <w:b/>
                <w:bCs/>
                <w:lang w:val="hr-HR"/>
              </w:rPr>
            </w:pPr>
            <w:r>
              <w:rPr>
                <w:b/>
                <w:bCs/>
                <w:lang w:val="hr-HR"/>
              </w:rPr>
              <w:t>Preneseno     iz</w:t>
            </w:r>
          </w:p>
          <w:p w:rsidR="002B00E7" w:rsidRDefault="002B00E7">
            <w:pPr>
              <w:spacing w:line="252" w:lineRule="auto"/>
              <w:jc w:val="center"/>
              <w:rPr>
                <w:b/>
                <w:bCs/>
                <w:lang w:val="hr-BA"/>
              </w:rPr>
            </w:pPr>
            <w:r>
              <w:rPr>
                <w:b/>
                <w:bCs/>
                <w:lang w:val="hr-BA"/>
              </w:rPr>
              <w:t>2020. god.</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Tijeloteksta"/>
              <w:spacing w:line="252" w:lineRule="auto"/>
              <w:jc w:val="center"/>
              <w:rPr>
                <w:b/>
                <w:bCs/>
                <w:lang w:val="hr-HR"/>
              </w:rPr>
            </w:pPr>
            <w:r>
              <w:rPr>
                <w:b/>
                <w:bCs/>
                <w:lang w:val="hr-HR"/>
              </w:rPr>
              <w:t>Zaprimljeno u</w:t>
            </w:r>
          </w:p>
          <w:p w:rsidR="002B00E7" w:rsidRDefault="002B00E7">
            <w:pPr>
              <w:spacing w:line="252" w:lineRule="auto"/>
              <w:jc w:val="center"/>
              <w:rPr>
                <w:b/>
                <w:bCs/>
                <w:lang w:val="hr-BA"/>
              </w:rPr>
            </w:pPr>
            <w:r>
              <w:rPr>
                <w:b/>
                <w:bCs/>
                <w:lang w:val="hr-BA"/>
              </w:rPr>
              <w:t>2021. god.</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 xml:space="preserve">Ukupno u  radu </w:t>
            </w:r>
          </w:p>
          <w:p w:rsidR="002B00E7" w:rsidRDefault="002B00E7">
            <w:pPr>
              <w:spacing w:line="252" w:lineRule="auto"/>
              <w:jc w:val="center"/>
              <w:rPr>
                <w:b/>
                <w:bCs/>
                <w:lang w:val="hr-BA"/>
              </w:rPr>
            </w:pPr>
            <w:r>
              <w:rPr>
                <w:b/>
                <w:bCs/>
                <w:lang w:val="hr-BA"/>
              </w:rPr>
              <w:t> u 2021god.</w:t>
            </w:r>
          </w:p>
        </w:tc>
        <w:tc>
          <w:tcPr>
            <w:tcW w:w="14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Riješeno</w:t>
            </w:r>
          </w:p>
          <w:p w:rsidR="002B00E7" w:rsidRDefault="002B00E7">
            <w:pPr>
              <w:spacing w:line="252" w:lineRule="auto"/>
              <w:jc w:val="center"/>
              <w:rPr>
                <w:b/>
                <w:bCs/>
                <w:lang w:val="hr-BA"/>
              </w:rPr>
            </w:pPr>
            <w:r>
              <w:rPr>
                <w:b/>
                <w:bCs/>
                <w:lang w:val="hr-BA"/>
              </w:rPr>
              <w:t>u</w:t>
            </w:r>
          </w:p>
          <w:p w:rsidR="002B00E7" w:rsidRDefault="002B00E7">
            <w:pPr>
              <w:spacing w:line="252" w:lineRule="auto"/>
              <w:jc w:val="center"/>
              <w:rPr>
                <w:b/>
                <w:bCs/>
                <w:lang w:val="hr-BA"/>
              </w:rPr>
            </w:pPr>
            <w:r>
              <w:rPr>
                <w:b/>
                <w:bCs/>
                <w:lang w:val="hr-BA"/>
              </w:rPr>
              <w:t>2021. god.</w:t>
            </w:r>
          </w:p>
        </w:tc>
        <w:tc>
          <w:tcPr>
            <w:tcW w:w="21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b/>
                <w:bCs/>
                <w:lang w:val="hr-BA"/>
              </w:rPr>
            </w:pPr>
            <w:r>
              <w:rPr>
                <w:b/>
                <w:bCs/>
                <w:lang w:val="hr-BA"/>
              </w:rPr>
              <w:t>Ostalo za rješavanje  u  2022. god</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1.</w:t>
            </w:r>
          </w:p>
        </w:tc>
        <w:tc>
          <w:tcPr>
            <w:tcW w:w="133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Gž</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3004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1265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4269</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1816</w:t>
            </w:r>
          </w:p>
        </w:tc>
        <w:tc>
          <w:tcPr>
            <w:tcW w:w="217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2453</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2.</w:t>
            </w:r>
          </w:p>
        </w:tc>
        <w:tc>
          <w:tcPr>
            <w:tcW w:w="133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Pž</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157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211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368</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187</w:t>
            </w:r>
          </w:p>
        </w:tc>
        <w:tc>
          <w:tcPr>
            <w:tcW w:w="217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181</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3.</w:t>
            </w:r>
          </w:p>
        </w:tc>
        <w:tc>
          <w:tcPr>
            <w:tcW w:w="133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Rsž</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1441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245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1686</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833</w:t>
            </w:r>
          </w:p>
        </w:tc>
        <w:tc>
          <w:tcPr>
            <w:tcW w:w="217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853</w:t>
            </w:r>
          </w:p>
        </w:tc>
      </w:tr>
      <w:tr w:rsidR="002B00E7" w:rsidTr="002B00E7">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4.</w:t>
            </w:r>
          </w:p>
        </w:tc>
        <w:tc>
          <w:tcPr>
            <w:tcW w:w="133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74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62</w:t>
            </w:r>
          </w:p>
        </w:tc>
        <w:tc>
          <w:tcPr>
            <w:tcW w:w="217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r>
      <w:tr w:rsidR="002B00E7" w:rsidTr="002B00E7">
        <w:trPr>
          <w:trHeight w:val="139"/>
        </w:trPr>
        <w:tc>
          <w:tcPr>
            <w:tcW w:w="10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B00E7" w:rsidRDefault="002B00E7">
            <w:pPr>
              <w:spacing w:line="252" w:lineRule="auto"/>
              <w:jc w:val="center"/>
              <w:rPr>
                <w:b/>
                <w:bCs/>
                <w:lang w:val="hr-BA"/>
              </w:rPr>
            </w:pPr>
          </w:p>
        </w:tc>
        <w:tc>
          <w:tcPr>
            <w:tcW w:w="1332"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 xml:space="preserve">UKUPNO </w:t>
            </w:r>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Tijeloteksta"/>
              <w:spacing w:line="252" w:lineRule="auto"/>
              <w:jc w:val="center"/>
              <w:rPr>
                <w:b/>
                <w:bCs/>
                <w:lang w:val="hr-HR"/>
              </w:rPr>
            </w:pPr>
            <w:r>
              <w:rPr>
                <w:b/>
                <w:bCs/>
                <w:lang w:val="hr-HR"/>
              </w:rPr>
              <w:t>4620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Tijeloteksta"/>
              <w:spacing w:line="252" w:lineRule="auto"/>
              <w:jc w:val="center"/>
              <w:rPr>
                <w:b/>
                <w:bCs/>
                <w:lang w:val="hr-HR"/>
              </w:rPr>
            </w:pPr>
            <w:r>
              <w:rPr>
                <w:b/>
                <w:bCs/>
                <w:lang w:val="hr-HR"/>
              </w:rPr>
              <w:t>1795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6415</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2898</w:t>
            </w:r>
          </w:p>
        </w:tc>
        <w:tc>
          <w:tcPr>
            <w:tcW w:w="21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b/>
                <w:bCs/>
                <w:lang w:val="hr-BA"/>
              </w:rPr>
            </w:pPr>
            <w:r>
              <w:rPr>
                <w:b/>
                <w:bCs/>
                <w:lang w:val="hr-BA"/>
              </w:rPr>
              <w:t>3517</w:t>
            </w:r>
          </w:p>
        </w:tc>
      </w:tr>
    </w:tbl>
    <w:p w:rsidR="002B00E7" w:rsidRDefault="002B00E7" w:rsidP="002B00E7">
      <w:pPr>
        <w:jc w:val="both"/>
        <w:rPr>
          <w:lang w:val="hr-BA"/>
        </w:rPr>
      </w:pPr>
    </w:p>
    <w:p w:rsidR="002B00E7" w:rsidRDefault="002B00E7" w:rsidP="002B00E7">
      <w:pPr>
        <w:jc w:val="both"/>
        <w:rPr>
          <w:b/>
          <w:bCs/>
          <w:i/>
          <w:iCs/>
          <w:lang w:val="hr-BA"/>
        </w:rPr>
      </w:pPr>
      <w:r>
        <w:rPr>
          <w:lang w:val="hr-BA"/>
        </w:rPr>
        <w:t>       </w:t>
      </w:r>
      <w:bookmarkEnd w:id="0"/>
    </w:p>
    <w:p w:rsidR="002B00E7" w:rsidRDefault="002B00E7" w:rsidP="002B00E7">
      <w:pPr>
        <w:jc w:val="center"/>
        <w:rPr>
          <w:b/>
          <w:bCs/>
          <w:lang w:val="hr-BA"/>
        </w:rPr>
      </w:pPr>
      <w:r>
        <w:rPr>
          <w:b/>
          <w:bCs/>
          <w:lang w:val="hr-BA"/>
        </w:rPr>
        <w:t>REFERAT UPRAVNIH SPOROVA</w:t>
      </w:r>
    </w:p>
    <w:p w:rsidR="002B00E7" w:rsidRDefault="002B00E7" w:rsidP="002B00E7">
      <w:pPr>
        <w:jc w:val="both"/>
        <w:rPr>
          <w:b/>
          <w:bCs/>
          <w:lang w:val="hr-BA"/>
        </w:rPr>
      </w:pPr>
    </w:p>
    <w:p w:rsidR="002B00E7" w:rsidRDefault="002B00E7" w:rsidP="002B00E7">
      <w:pPr>
        <w:jc w:val="both"/>
        <w:rPr>
          <w:lang w:val="hr-BA"/>
        </w:rPr>
      </w:pPr>
      <w:r>
        <w:rPr>
          <w:b/>
          <w:bCs/>
          <w:lang w:val="hr-BA"/>
        </w:rPr>
        <w:t xml:space="preserve">            </w:t>
      </w:r>
      <w:r>
        <w:rPr>
          <w:lang w:val="hr-BA"/>
        </w:rPr>
        <w:t xml:space="preserve">Na upravni referat su raspoređene tri sutkinje a kako je predsjednica odjela otišla u mirovinu sa 01.05.2021.godine na upravni referat a sa 1/3 norme upravnog referata raspoređena i sutkinja koja je raspoređena na kazneni i prekršajni odjel i   dvije sutkinje sa 100% norme, iako su iste i raspoređene na kazneni odjel kao dežurni suci .  Sud je u izvještajnom periodu u radu ukupno imao 2255 predmeta upravnih sporova  od čega je iz 2021. godine preneseno 1.418 predmeta, zaprimljeno 837 U predmeta, Uz 110 predmeta, </w:t>
      </w:r>
      <w:proofErr w:type="spellStart"/>
      <w:r>
        <w:rPr>
          <w:lang w:val="hr-BA"/>
        </w:rPr>
        <w:t>Uvp</w:t>
      </w:r>
      <w:proofErr w:type="spellEnd"/>
      <w:r>
        <w:rPr>
          <w:lang w:val="hr-BA"/>
        </w:rPr>
        <w:t xml:space="preserve"> 16 predmeta i U R 6 predmeta. Iz prednjih pokazatelja vidljiv je povećan priliv   U predmeta (u 2020 godini zaprimljeno 621 ) što je za 216 predmeta više u 2021.godini  i Uz predmeta u 2020.godini zaprimljeno 57 što je povećanje za 53 predmeta . U izvještajnom periodu  riješeno je 487 U predmet , 123 Uz predmeta, </w:t>
      </w:r>
      <w:proofErr w:type="spellStart"/>
      <w:r>
        <w:rPr>
          <w:lang w:val="hr-BA"/>
        </w:rPr>
        <w:t>Uvp</w:t>
      </w:r>
      <w:proofErr w:type="spellEnd"/>
      <w:r>
        <w:rPr>
          <w:lang w:val="hr-BA"/>
        </w:rPr>
        <w:t xml:space="preserve"> 5 predmeta i U R 5 predmeta,  što je rezultiralo da je na kraju 2021.godine ostalo ukupno 1418 predmeta  za rješavanje u 2022 godini. Veliki prilivi  iz ranijih godina i nedovoljan broj sudaca  na upravnom referatu su stvorili neažurnosti na ovom referatu jer norma godišnja je 242 U predmeta, što znači da trenutno raspoređene dvije sutkinje na upravnom referatu su zadužene sa cca 700 predmeta i to je  trogodišnja neažurnost na upravnom referatu. Za napomenuti je također da zbog promjene Zakona o provođenju kontrole zakonitosti korištenja prava iz braniteljsko-invalidske zaštite u ovaj sud je Vrhovni sud </w:t>
      </w:r>
      <w:proofErr w:type="spellStart"/>
      <w:r>
        <w:rPr>
          <w:lang w:val="hr-BA"/>
        </w:rPr>
        <w:t>FBiH</w:t>
      </w:r>
      <w:proofErr w:type="spellEnd"/>
      <w:r>
        <w:rPr>
          <w:lang w:val="hr-BA"/>
        </w:rPr>
        <w:t xml:space="preserve"> već u prvim danima 2022.godine dostavio na nadležnost 250 U predmet a tijekom 2022.godine očekuje se još i veći priliv tih predmeta. Razlozi za neažurnost upravnog referata je također veći priliv Uz predmeta (zahtjevi za zaštitu zakonitosti) koji se moraju u roku od 15 dana riješiti i neimenovanje sudaca od strane VSTV-a  iako je više puta obraćano se  VSTV u da zbog odlaska u mirovnu  bivše predsjednice suda 01.08.2020.godine i predsjednice upravnog odjela 01.05.2021.godine potrebno ubrzati imenovanja.  </w:t>
      </w:r>
    </w:p>
    <w:p w:rsidR="002B00E7" w:rsidRDefault="002B00E7" w:rsidP="002B00E7">
      <w:pPr>
        <w:jc w:val="both"/>
        <w:rPr>
          <w:lang w:val="hr-BA"/>
        </w:rPr>
      </w:pPr>
    </w:p>
    <w:p w:rsidR="002B00E7" w:rsidRDefault="002B00E7" w:rsidP="002B00E7">
      <w:pPr>
        <w:jc w:val="both"/>
        <w:rPr>
          <w:color w:val="C00000"/>
          <w:lang w:val="hr-BA"/>
        </w:rPr>
      </w:pPr>
      <w:r>
        <w:rPr>
          <w:lang w:val="hr-BA"/>
        </w:rPr>
        <w:t xml:space="preserve">            Navedeni  referat je također na godišnjem Planu rješavanja predmeta te se predmeti rade po starosti inicijalnog akta,  na plan za 2021.godinu podijeljeno je 424 U  predmeta. Riješeno je 401 predmeta te je samo 21 predmet ostao neriješen sa plana za 2020.godinu, tako </w:t>
      </w:r>
      <w:r>
        <w:rPr>
          <w:lang w:val="hr-BA"/>
        </w:rPr>
        <w:lastRenderedPageBreak/>
        <w:t>da je ovaj referat ispunio plan 94,58%, što je veoma dobar rezultat na upravnom referatu</w:t>
      </w:r>
      <w:r>
        <w:rPr>
          <w:color w:val="000000"/>
          <w:lang w:val="hr-BA"/>
        </w:rPr>
        <w:t xml:space="preserve">, s obzirom da predmeti Uz ne stavljaju se na Plan rješavanja predmeta. </w:t>
      </w:r>
    </w:p>
    <w:p w:rsidR="002B00E7" w:rsidRDefault="002B00E7" w:rsidP="002B00E7">
      <w:pPr>
        <w:jc w:val="both"/>
        <w:rPr>
          <w:i/>
          <w:iCs/>
          <w:color w:val="C00000"/>
          <w:lang w:val="hr-BA"/>
        </w:rPr>
      </w:pPr>
    </w:p>
    <w:p w:rsidR="002B00E7" w:rsidRDefault="002B00E7" w:rsidP="002B00E7">
      <w:pPr>
        <w:jc w:val="both"/>
        <w:rPr>
          <w:i/>
          <w:iCs/>
          <w:color w:val="C00000"/>
          <w:lang w:val="hr-BA"/>
        </w:rPr>
      </w:pPr>
      <w:r>
        <w:rPr>
          <w:b/>
          <w:bCs/>
          <w:i/>
          <w:iCs/>
          <w:lang w:val="hr-BA"/>
        </w:rPr>
        <w:t xml:space="preserve">Tabelarni prikaz protoka  predmeta upravnog spora za 2021.godinu </w:t>
      </w:r>
      <w:r>
        <w:rPr>
          <w:i/>
          <w:iCs/>
          <w:color w:val="C00000"/>
          <w:lang w:val="hr-BA"/>
        </w:rPr>
        <w:t xml:space="preserve">: </w:t>
      </w:r>
    </w:p>
    <w:p w:rsidR="002B00E7" w:rsidRDefault="002B00E7" w:rsidP="002B00E7">
      <w:pPr>
        <w:jc w:val="both"/>
        <w:rPr>
          <w:lang w:val="hr-BA"/>
        </w:rPr>
      </w:pPr>
      <w:r>
        <w:rPr>
          <w:lang w:val="hr-BA"/>
        </w:rPr>
        <w:t xml:space="preserve">                        </w:t>
      </w:r>
    </w:p>
    <w:tbl>
      <w:tblPr>
        <w:tblW w:w="8790" w:type="dxa"/>
        <w:tblInd w:w="-5" w:type="dxa"/>
        <w:tblCellMar>
          <w:left w:w="0" w:type="dxa"/>
          <w:right w:w="0" w:type="dxa"/>
        </w:tblCellMar>
        <w:tblLook w:val="04A0" w:firstRow="1" w:lastRow="0" w:firstColumn="1" w:lastColumn="0" w:noHBand="0" w:noVBand="1"/>
      </w:tblPr>
      <w:tblGrid>
        <w:gridCol w:w="446"/>
        <w:gridCol w:w="1258"/>
        <w:gridCol w:w="1576"/>
        <w:gridCol w:w="1329"/>
        <w:gridCol w:w="1097"/>
        <w:gridCol w:w="1053"/>
        <w:gridCol w:w="2031"/>
      </w:tblGrid>
      <w:tr w:rsidR="002B00E7" w:rsidTr="002B00E7">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B00E7" w:rsidRDefault="002B00E7">
            <w:pPr>
              <w:spacing w:line="252" w:lineRule="auto"/>
              <w:jc w:val="center"/>
              <w:rPr>
                <w:b/>
                <w:bCs/>
                <w:lang w:val="hr-BA"/>
              </w:rPr>
            </w:pPr>
          </w:p>
          <w:p w:rsidR="002B00E7" w:rsidRDefault="002B00E7">
            <w:pPr>
              <w:spacing w:line="252" w:lineRule="auto"/>
              <w:jc w:val="center"/>
              <w:rPr>
                <w:b/>
                <w:bCs/>
                <w:lang w:val="hr-BA"/>
              </w:rPr>
            </w:pPr>
            <w:r>
              <w:rPr>
                <w:b/>
                <w:bCs/>
                <w:sz w:val="22"/>
                <w:szCs w:val="22"/>
                <w:lang w:val="hr-BA"/>
              </w:rPr>
              <w:t>R. b.</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B00E7" w:rsidRDefault="002B00E7">
            <w:pPr>
              <w:spacing w:line="252" w:lineRule="auto"/>
              <w:jc w:val="center"/>
              <w:rPr>
                <w:b/>
                <w:bCs/>
                <w:lang w:val="hr-BA"/>
              </w:rPr>
            </w:pPr>
          </w:p>
          <w:p w:rsidR="002B00E7" w:rsidRDefault="002B00E7">
            <w:pPr>
              <w:spacing w:line="252" w:lineRule="auto"/>
              <w:jc w:val="center"/>
              <w:rPr>
                <w:b/>
                <w:bCs/>
                <w:lang w:val="hr-BA"/>
              </w:rPr>
            </w:pPr>
            <w:r>
              <w:rPr>
                <w:b/>
                <w:bCs/>
                <w:sz w:val="22"/>
                <w:szCs w:val="22"/>
                <w:lang w:val="hr-BA"/>
              </w:rPr>
              <w:t>Referat</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Tijeloteksta"/>
              <w:spacing w:line="252" w:lineRule="auto"/>
              <w:jc w:val="center"/>
              <w:rPr>
                <w:b/>
                <w:bCs/>
                <w:lang w:val="hr-HR"/>
              </w:rPr>
            </w:pPr>
            <w:r>
              <w:rPr>
                <w:b/>
                <w:bCs/>
                <w:lang w:val="hr-HR"/>
              </w:rPr>
              <w:t>Preneseno     iz</w:t>
            </w:r>
          </w:p>
          <w:p w:rsidR="002B00E7" w:rsidRDefault="002B00E7">
            <w:pPr>
              <w:spacing w:line="252" w:lineRule="auto"/>
              <w:jc w:val="center"/>
              <w:rPr>
                <w:b/>
                <w:bCs/>
                <w:lang w:val="hr-BA"/>
              </w:rPr>
            </w:pPr>
            <w:r>
              <w:rPr>
                <w:b/>
                <w:bCs/>
                <w:sz w:val="22"/>
                <w:szCs w:val="22"/>
                <w:lang w:val="hr-BA"/>
              </w:rPr>
              <w:t>2021. god.</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Tijeloteksta"/>
              <w:spacing w:line="252" w:lineRule="auto"/>
              <w:jc w:val="center"/>
              <w:rPr>
                <w:b/>
                <w:bCs/>
                <w:lang w:val="hr-HR"/>
              </w:rPr>
            </w:pPr>
            <w:r>
              <w:rPr>
                <w:b/>
                <w:bCs/>
                <w:lang w:val="hr-HR"/>
              </w:rPr>
              <w:t>Zaprimljeno u</w:t>
            </w:r>
          </w:p>
          <w:p w:rsidR="002B00E7" w:rsidRDefault="002B00E7">
            <w:pPr>
              <w:spacing w:line="252" w:lineRule="auto"/>
              <w:jc w:val="center"/>
              <w:rPr>
                <w:b/>
                <w:bCs/>
                <w:lang w:val="hr-BA"/>
              </w:rPr>
            </w:pPr>
            <w:r>
              <w:rPr>
                <w:b/>
                <w:bCs/>
                <w:sz w:val="22"/>
                <w:szCs w:val="22"/>
                <w:lang w:val="hr-BA"/>
              </w:rPr>
              <w:t>2021. god.</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sz w:val="22"/>
                <w:szCs w:val="22"/>
                <w:lang w:val="hr-BA"/>
              </w:rPr>
              <w:t>Ukupno u  radu</w:t>
            </w:r>
          </w:p>
          <w:p w:rsidR="002B00E7" w:rsidRDefault="002B00E7">
            <w:pPr>
              <w:spacing w:line="252" w:lineRule="auto"/>
              <w:jc w:val="center"/>
              <w:rPr>
                <w:b/>
                <w:bCs/>
                <w:lang w:val="hr-BA"/>
              </w:rPr>
            </w:pPr>
            <w:r>
              <w:rPr>
                <w:b/>
                <w:bCs/>
                <w:sz w:val="22"/>
                <w:szCs w:val="22"/>
                <w:lang w:val="hr-BA"/>
              </w:rPr>
              <w:t>u 2021god.</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sz w:val="22"/>
                <w:szCs w:val="22"/>
                <w:lang w:val="hr-BA"/>
              </w:rPr>
              <w:t>Riješeno</w:t>
            </w:r>
          </w:p>
          <w:p w:rsidR="002B00E7" w:rsidRDefault="002B00E7">
            <w:pPr>
              <w:spacing w:line="252" w:lineRule="auto"/>
              <w:jc w:val="center"/>
              <w:rPr>
                <w:b/>
                <w:bCs/>
                <w:lang w:val="hr-BA"/>
              </w:rPr>
            </w:pPr>
            <w:r>
              <w:rPr>
                <w:b/>
                <w:bCs/>
                <w:sz w:val="22"/>
                <w:szCs w:val="22"/>
                <w:lang w:val="hr-BA"/>
              </w:rPr>
              <w:t>u</w:t>
            </w:r>
          </w:p>
          <w:p w:rsidR="002B00E7" w:rsidRDefault="002B00E7">
            <w:pPr>
              <w:spacing w:line="252" w:lineRule="auto"/>
              <w:jc w:val="center"/>
              <w:rPr>
                <w:b/>
                <w:bCs/>
                <w:lang w:val="hr-BA"/>
              </w:rPr>
            </w:pPr>
            <w:r>
              <w:rPr>
                <w:b/>
                <w:bCs/>
                <w:sz w:val="22"/>
                <w:szCs w:val="22"/>
                <w:lang w:val="hr-BA"/>
              </w:rPr>
              <w:t>2021. god.</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b/>
                <w:bCs/>
                <w:lang w:val="hr-BA"/>
              </w:rPr>
            </w:pPr>
            <w:r>
              <w:rPr>
                <w:b/>
                <w:bCs/>
                <w:sz w:val="22"/>
                <w:szCs w:val="22"/>
                <w:lang w:val="hr-BA"/>
              </w:rPr>
              <w:t>Ostalo za rješavanje  u  2022. god</w:t>
            </w:r>
          </w:p>
        </w:tc>
      </w:tr>
      <w:tr w:rsidR="002B00E7" w:rsidTr="002B00E7">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B00E7" w:rsidRDefault="002B00E7">
            <w:pPr>
              <w:spacing w:line="252" w:lineRule="auto"/>
              <w:jc w:val="center"/>
              <w:rPr>
                <w:b/>
                <w:bCs/>
                <w:lang w:val="hr-BA"/>
              </w:rPr>
            </w:pPr>
            <w:r>
              <w:rPr>
                <w:b/>
                <w:bCs/>
                <w:lang w:val="hr-BA"/>
              </w:rPr>
              <w:t>1.</w:t>
            </w:r>
          </w:p>
          <w:p w:rsidR="002B00E7" w:rsidRDefault="002B00E7">
            <w:pPr>
              <w:spacing w:line="252" w:lineRule="auto"/>
              <w:jc w:val="center"/>
              <w:rPr>
                <w:b/>
                <w:bCs/>
                <w:lang w:val="hr-BA"/>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both"/>
              <w:rPr>
                <w:rFonts w:ascii="Times New Roman" w:hAnsi="Times New Roman" w:cs="Times New Roman"/>
                <w:color w:val="000000"/>
                <w:sz w:val="24"/>
                <w:szCs w:val="24"/>
              </w:rPr>
            </w:pPr>
          </w:p>
          <w:p w:rsidR="002B00E7" w:rsidRDefault="002B00E7">
            <w:pPr>
              <w:pStyle w:val="Bezproreda"/>
              <w:spacing w:line="252"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U</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center"/>
              <w:rPr>
                <w:rFonts w:ascii="Times New Roman" w:hAnsi="Times New Roman" w:cs="Times New Roman"/>
                <w:color w:val="000000"/>
                <w:sz w:val="24"/>
                <w:szCs w:val="24"/>
              </w:rPr>
            </w:pPr>
          </w:p>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1387</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center"/>
              <w:rPr>
                <w:rFonts w:ascii="Times New Roman" w:hAnsi="Times New Roman" w:cs="Times New Roman"/>
                <w:color w:val="000000"/>
                <w:sz w:val="24"/>
                <w:szCs w:val="24"/>
              </w:rPr>
            </w:pPr>
          </w:p>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705</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center"/>
              <w:rPr>
                <w:rFonts w:ascii="Times New Roman" w:hAnsi="Times New Roman" w:cs="Times New Roman"/>
                <w:color w:val="000000"/>
                <w:sz w:val="24"/>
                <w:szCs w:val="24"/>
              </w:rPr>
            </w:pPr>
          </w:p>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2092</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center"/>
              <w:rPr>
                <w:rFonts w:ascii="Times New Roman" w:hAnsi="Times New Roman" w:cs="Times New Roman"/>
                <w:color w:val="000000"/>
                <w:sz w:val="24"/>
                <w:szCs w:val="24"/>
              </w:rPr>
            </w:pPr>
          </w:p>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487</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center"/>
              <w:rPr>
                <w:rFonts w:ascii="Times New Roman" w:hAnsi="Times New Roman" w:cs="Times New Roman"/>
                <w:color w:val="000000"/>
                <w:sz w:val="24"/>
                <w:szCs w:val="24"/>
              </w:rPr>
            </w:pPr>
          </w:p>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1605</w:t>
            </w:r>
          </w:p>
        </w:tc>
      </w:tr>
      <w:tr w:rsidR="002B00E7" w:rsidTr="002B00E7">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2.</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Uvl,Uvp</w:t>
            </w:r>
            <w:proofErr w:type="spellEnd"/>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24</w:t>
            </w:r>
          </w:p>
        </w:tc>
      </w:tr>
      <w:tr w:rsidR="002B00E7" w:rsidTr="002B00E7">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3.</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Uz</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110</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124</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123</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2B00E7" w:rsidTr="002B00E7">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4.</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U-R</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r>
      <w:tr w:rsidR="002B00E7" w:rsidTr="002B00E7">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B00E7" w:rsidRDefault="002B00E7">
            <w:pPr>
              <w:spacing w:line="252" w:lineRule="auto"/>
              <w:jc w:val="center"/>
              <w:rPr>
                <w:b/>
                <w:bCs/>
                <w:lang w:val="hr-BA"/>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UKUPNO</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1418</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837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2255</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620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spacing w:line="252" w:lineRule="auto"/>
              <w:jc w:val="center"/>
              <w:rPr>
                <w:b/>
                <w:bCs/>
                <w:lang w:val="hr-BA"/>
              </w:rPr>
            </w:pPr>
            <w:r>
              <w:rPr>
                <w:b/>
                <w:bCs/>
                <w:lang w:val="hr-BA"/>
              </w:rPr>
              <w:t>1635</w:t>
            </w:r>
          </w:p>
        </w:tc>
      </w:tr>
    </w:tbl>
    <w:p w:rsidR="002B00E7" w:rsidRDefault="002B00E7" w:rsidP="002B00E7">
      <w:pPr>
        <w:jc w:val="both"/>
        <w:rPr>
          <w:lang w:val="hr-BA"/>
        </w:rPr>
      </w:pPr>
    </w:p>
    <w:p w:rsidR="002B00E7" w:rsidRDefault="002B00E7" w:rsidP="002B00E7">
      <w:pPr>
        <w:pStyle w:val="Naslov7"/>
        <w:rPr>
          <w:b/>
          <w:bCs/>
          <w:sz w:val="24"/>
          <w:szCs w:val="24"/>
          <w:lang w:val="hr-HR"/>
        </w:rPr>
      </w:pPr>
    </w:p>
    <w:p w:rsidR="002B00E7" w:rsidRDefault="002B00E7" w:rsidP="002B00E7">
      <w:pPr>
        <w:pStyle w:val="Naslov7"/>
        <w:rPr>
          <w:b/>
          <w:bCs/>
          <w:sz w:val="24"/>
          <w:szCs w:val="24"/>
          <w:lang w:val="hr-HR"/>
        </w:rPr>
      </w:pPr>
    </w:p>
    <w:p w:rsidR="002B00E7" w:rsidRDefault="002B00E7" w:rsidP="002B00E7">
      <w:pPr>
        <w:rPr>
          <w:lang w:val="hr-HR" w:eastAsia="hr-HR"/>
        </w:rPr>
      </w:pPr>
    </w:p>
    <w:p w:rsidR="002B00E7" w:rsidRDefault="002B00E7" w:rsidP="002B00E7">
      <w:pPr>
        <w:pStyle w:val="Naslov7"/>
        <w:rPr>
          <w:b/>
          <w:bCs/>
          <w:sz w:val="24"/>
          <w:szCs w:val="24"/>
          <w:lang w:val="hr-HR"/>
        </w:rPr>
      </w:pPr>
      <w:r>
        <w:rPr>
          <w:b/>
          <w:bCs/>
          <w:sz w:val="24"/>
          <w:szCs w:val="24"/>
          <w:lang w:val="hr-HR"/>
        </w:rPr>
        <w:t xml:space="preserve">SUMARNI IZVJEŠTAJ O RJEŠAVANJU PREDMETA </w:t>
      </w:r>
    </w:p>
    <w:p w:rsidR="002B00E7" w:rsidRDefault="002B00E7" w:rsidP="002B00E7">
      <w:pPr>
        <w:jc w:val="center"/>
        <w:rPr>
          <w:b/>
          <w:bCs/>
          <w:i/>
          <w:iCs/>
          <w:lang w:val="hr-BA"/>
        </w:rPr>
      </w:pPr>
      <w:r>
        <w:rPr>
          <w:b/>
          <w:bCs/>
          <w:i/>
          <w:iCs/>
          <w:lang w:val="hr-BA"/>
        </w:rPr>
        <w:t>PO REFERATIMA za 2021.godinu</w:t>
      </w:r>
    </w:p>
    <w:p w:rsidR="002B00E7" w:rsidRDefault="002B00E7" w:rsidP="002B00E7">
      <w:pPr>
        <w:jc w:val="both"/>
        <w:rPr>
          <w:b/>
          <w:bCs/>
          <w:lang w:val="hr-BA"/>
        </w:rPr>
      </w:pPr>
    </w:p>
    <w:tbl>
      <w:tblPr>
        <w:tblW w:w="9315" w:type="dxa"/>
        <w:tblInd w:w="-252" w:type="dxa"/>
        <w:tblCellMar>
          <w:left w:w="0" w:type="dxa"/>
          <w:right w:w="0" w:type="dxa"/>
        </w:tblCellMar>
        <w:tblLook w:val="04A0" w:firstRow="1" w:lastRow="0" w:firstColumn="1" w:lastColumn="0" w:noHBand="0" w:noVBand="1"/>
      </w:tblPr>
      <w:tblGrid>
        <w:gridCol w:w="1095"/>
        <w:gridCol w:w="1318"/>
        <w:gridCol w:w="15"/>
        <w:gridCol w:w="1367"/>
        <w:gridCol w:w="1440"/>
        <w:gridCol w:w="1439"/>
        <w:gridCol w:w="1426"/>
        <w:gridCol w:w="1215"/>
      </w:tblGrid>
      <w:tr w:rsidR="002B00E7" w:rsidTr="002B00E7">
        <w:tc>
          <w:tcPr>
            <w:tcW w:w="10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 b.</w:t>
            </w:r>
          </w:p>
        </w:tc>
        <w:tc>
          <w:tcPr>
            <w:tcW w:w="133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Referat</w:t>
            </w:r>
          </w:p>
        </w:tc>
        <w:tc>
          <w:tcPr>
            <w:tcW w:w="13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Preneseno iz 2020. god.</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Zaprimljeno u 2021. god.</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Ukupno u radu u 2021.god.</w:t>
            </w:r>
          </w:p>
        </w:tc>
        <w:tc>
          <w:tcPr>
            <w:tcW w:w="14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Riješeno u 2021. god.</w:t>
            </w:r>
          </w:p>
        </w:tc>
        <w:tc>
          <w:tcPr>
            <w:tcW w:w="12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Ostalo za rješavanje u 2022. god</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Kpp</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82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79</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Kps</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3.</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Kv</w:t>
            </w:r>
            <w:proofErr w:type="spellEnd"/>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96</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92</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4.</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w:t>
            </w:r>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2B00E7" w:rsidTr="002B00E7">
        <w:trPr>
          <w:trHeight w:val="267"/>
        </w:trPr>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5.</w:t>
            </w:r>
          </w:p>
        </w:tc>
        <w:tc>
          <w:tcPr>
            <w:tcW w:w="133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Rat. zločin</w:t>
            </w:r>
          </w:p>
        </w:tc>
        <w:tc>
          <w:tcPr>
            <w:tcW w:w="136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2B00E7" w:rsidTr="002B00E7">
        <w:trPr>
          <w:trHeight w:val="264"/>
        </w:trPr>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6.</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54</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7.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Kmž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b/>
                <w:bCs/>
                <w:sz w:val="24"/>
                <w:szCs w:val="24"/>
              </w:rPr>
            </w:pPr>
            <w:r>
              <w:rPr>
                <w:rFonts w:ascii="Times New Roman" w:hAnsi="Times New Roman" w:cs="Times New Roman"/>
                <w:b/>
                <w:bCs/>
                <w:sz w:val="24"/>
                <w:szCs w:val="24"/>
              </w:rPr>
              <w:t>0</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8.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Kp</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9.</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Iksž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2B00E7" w:rsidTr="002B00E7">
        <w:trPr>
          <w:trHeight w:val="269"/>
        </w:trPr>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10.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Kžk</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w:t>
            </w:r>
            <w:proofErr w:type="spellStart"/>
            <w:r>
              <w:rPr>
                <w:rFonts w:ascii="Times New Roman" w:hAnsi="Times New Roman" w:cs="Times New Roman"/>
                <w:sz w:val="24"/>
                <w:szCs w:val="24"/>
              </w:rPr>
              <w:t>Mpom</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Km-</w:t>
            </w:r>
            <w:proofErr w:type="spellStart"/>
            <w:r>
              <w:rPr>
                <w:rFonts w:ascii="Times New Roman" w:hAnsi="Times New Roman" w:cs="Times New Roman"/>
                <w:sz w:val="24"/>
                <w:szCs w:val="24"/>
              </w:rPr>
              <w:t>Mpom</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Naslov1"/>
              <w:spacing w:line="252" w:lineRule="auto"/>
              <w:rPr>
                <w:rFonts w:eastAsia="Times New Roman"/>
                <w:lang w:val="hr-HR"/>
              </w:rPr>
            </w:pPr>
            <w:r>
              <w:rPr>
                <w:rFonts w:eastAsia="Times New Roman"/>
                <w:lang w:val="hr-HR"/>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13.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K-R</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14. </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proofErr w:type="spellStart"/>
            <w:r>
              <w:rPr>
                <w:rFonts w:ascii="Times New Roman" w:hAnsi="Times New Roman" w:cs="Times New Roman"/>
                <w:sz w:val="24"/>
                <w:szCs w:val="24"/>
              </w:rPr>
              <w:t>Pžp</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57</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51</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3004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1265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4269</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1816</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2453</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Pž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157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211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368</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187</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181</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Rsž</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1441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245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1686</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833</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853</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74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62</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r>
      <w:tr w:rsidR="002B00E7" w:rsidTr="002B00E7">
        <w:trPr>
          <w:trHeight w:val="245"/>
        </w:trPr>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19.</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ind w:left="-93" w:firstLine="93"/>
              <w:jc w:val="both"/>
              <w:rPr>
                <w:rFonts w:ascii="Times New Roman" w:hAnsi="Times New Roman" w:cs="Times New Roman"/>
                <w:color w:val="000000"/>
                <w:sz w:val="24"/>
                <w:szCs w:val="24"/>
              </w:rPr>
            </w:pPr>
            <w:r>
              <w:rPr>
                <w:rFonts w:ascii="Times New Roman" w:hAnsi="Times New Roman" w:cs="Times New Roman"/>
                <w:color w:val="000000"/>
                <w:sz w:val="24"/>
                <w:szCs w:val="24"/>
              </w:rPr>
              <w:t>U</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1387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705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2092</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487</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1605</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ind w:left="49" w:hanging="377"/>
              <w:jc w:val="cente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Uvl,Uvp</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24</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ind w:left="49" w:hanging="944"/>
              <w:jc w:val="center"/>
              <w:rPr>
                <w:rFonts w:ascii="Times New Roman" w:hAnsi="Times New Roman" w:cs="Times New Roman"/>
                <w:color w:val="000000"/>
                <w:sz w:val="24"/>
                <w:szCs w:val="24"/>
              </w:rPr>
            </w:pPr>
            <w:r>
              <w:rPr>
                <w:rFonts w:ascii="Times New Roman" w:hAnsi="Times New Roman" w:cs="Times New Roman"/>
                <w:color w:val="000000"/>
                <w:sz w:val="24"/>
                <w:szCs w:val="24"/>
              </w:rPr>
              <w:t>Uz</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124</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123</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lastRenderedPageBreak/>
              <w:t>22.</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ind w:left="49" w:hanging="802"/>
              <w:jc w:val="center"/>
              <w:rPr>
                <w:rFonts w:ascii="Times New Roman" w:hAnsi="Times New Roman" w:cs="Times New Roman"/>
                <w:color w:val="000000"/>
                <w:sz w:val="24"/>
                <w:szCs w:val="24"/>
              </w:rPr>
            </w:pPr>
            <w:r>
              <w:rPr>
                <w:rFonts w:ascii="Times New Roman" w:hAnsi="Times New Roman" w:cs="Times New Roman"/>
                <w:color w:val="000000"/>
                <w:sz w:val="24"/>
                <w:szCs w:val="24"/>
              </w:rPr>
              <w:t>U-R</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Su-</w:t>
            </w:r>
            <w:proofErr w:type="spellStart"/>
            <w:r>
              <w:rPr>
                <w:rFonts w:ascii="Times New Roman" w:hAnsi="Times New Roman" w:cs="Times New Roman"/>
                <w:sz w:val="24"/>
                <w:szCs w:val="24"/>
              </w:rPr>
              <w:t>Ap</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261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277</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255</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22</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Su-</w:t>
            </w:r>
            <w:proofErr w:type="spellStart"/>
            <w:r>
              <w:rPr>
                <w:rFonts w:ascii="Times New Roman" w:hAnsi="Times New Roman" w:cs="Times New Roman"/>
                <w:sz w:val="24"/>
                <w:szCs w:val="24"/>
              </w:rPr>
              <w:t>Dp</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327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335</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325</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Su-</w:t>
            </w:r>
            <w:proofErr w:type="spellStart"/>
            <w:r>
              <w:rPr>
                <w:rFonts w:ascii="Times New Roman" w:hAnsi="Times New Roman" w:cs="Times New Roman"/>
                <w:sz w:val="24"/>
                <w:szCs w:val="24"/>
              </w:rPr>
              <w:t>Spi</w:t>
            </w:r>
            <w:proofErr w:type="spellEnd"/>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26.</w:t>
            </w: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Su-Su</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156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207</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111</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96</w:t>
            </w:r>
          </w:p>
        </w:tc>
      </w:tr>
      <w:tr w:rsidR="002B00E7" w:rsidTr="002B00E7">
        <w:tc>
          <w:tcPr>
            <w:tcW w:w="109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B00E7" w:rsidRDefault="002B00E7">
            <w:pPr>
              <w:pStyle w:val="Bezproreda"/>
              <w:spacing w:line="252" w:lineRule="auto"/>
              <w:jc w:val="both"/>
              <w:rPr>
                <w:rFonts w:ascii="Times New Roman" w:hAnsi="Times New Roman" w:cs="Times New Roman"/>
                <w:sz w:val="24"/>
                <w:szCs w:val="24"/>
              </w:rPr>
            </w:pPr>
          </w:p>
        </w:tc>
        <w:tc>
          <w:tcPr>
            <w:tcW w:w="132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both"/>
              <w:rPr>
                <w:rFonts w:ascii="Times New Roman" w:hAnsi="Times New Roman" w:cs="Times New Roman"/>
                <w:sz w:val="24"/>
                <w:szCs w:val="24"/>
              </w:rPr>
            </w:pPr>
            <w:r>
              <w:rPr>
                <w:rFonts w:ascii="Times New Roman" w:hAnsi="Times New Roman" w:cs="Times New Roman"/>
                <w:sz w:val="24"/>
                <w:szCs w:val="24"/>
              </w:rPr>
              <w:t xml:space="preserve">Ukupno </w:t>
            </w: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6185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3809</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9994</w:t>
            </w:r>
          </w:p>
        </w:tc>
        <w:tc>
          <w:tcPr>
            <w:tcW w:w="1428"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4641</w:t>
            </w:r>
          </w:p>
        </w:tc>
        <w:tc>
          <w:tcPr>
            <w:tcW w:w="1213" w:type="dxa"/>
            <w:tcBorders>
              <w:top w:val="nil"/>
              <w:left w:val="nil"/>
              <w:bottom w:val="single" w:sz="8" w:space="0" w:color="auto"/>
              <w:right w:val="single" w:sz="8" w:space="0" w:color="auto"/>
            </w:tcBorders>
            <w:tcMar>
              <w:top w:w="0" w:type="dxa"/>
              <w:left w:w="108" w:type="dxa"/>
              <w:bottom w:w="0" w:type="dxa"/>
              <w:right w:w="108" w:type="dxa"/>
            </w:tcMar>
            <w:hideMark/>
          </w:tcPr>
          <w:p w:rsidR="002B00E7" w:rsidRDefault="002B00E7">
            <w:pPr>
              <w:pStyle w:val="Bezproreda"/>
              <w:spacing w:line="252" w:lineRule="auto"/>
              <w:jc w:val="center"/>
              <w:rPr>
                <w:rFonts w:ascii="Times New Roman" w:hAnsi="Times New Roman" w:cs="Times New Roman"/>
                <w:sz w:val="24"/>
                <w:szCs w:val="24"/>
              </w:rPr>
            </w:pPr>
            <w:r>
              <w:rPr>
                <w:rFonts w:ascii="Times New Roman" w:hAnsi="Times New Roman" w:cs="Times New Roman"/>
                <w:sz w:val="24"/>
                <w:szCs w:val="24"/>
              </w:rPr>
              <w:t>5353</w:t>
            </w:r>
          </w:p>
        </w:tc>
      </w:tr>
      <w:tr w:rsidR="002B00E7" w:rsidTr="002B00E7">
        <w:tc>
          <w:tcPr>
            <w:tcW w:w="1095" w:type="dxa"/>
            <w:vAlign w:val="center"/>
            <w:hideMark/>
          </w:tcPr>
          <w:p w:rsidR="002B00E7" w:rsidRDefault="002B00E7"/>
        </w:tc>
        <w:tc>
          <w:tcPr>
            <w:tcW w:w="1320" w:type="dxa"/>
            <w:vAlign w:val="center"/>
            <w:hideMark/>
          </w:tcPr>
          <w:p w:rsidR="002B00E7" w:rsidRDefault="002B00E7">
            <w:pPr>
              <w:rPr>
                <w:rFonts w:eastAsia="Times New Roman"/>
                <w:sz w:val="20"/>
                <w:szCs w:val="20"/>
                <w:lang w:eastAsia="bs-Latn-BA"/>
              </w:rPr>
            </w:pPr>
          </w:p>
        </w:tc>
        <w:tc>
          <w:tcPr>
            <w:tcW w:w="15" w:type="dxa"/>
            <w:vAlign w:val="center"/>
            <w:hideMark/>
          </w:tcPr>
          <w:p w:rsidR="002B00E7" w:rsidRDefault="002B00E7">
            <w:pPr>
              <w:rPr>
                <w:rFonts w:eastAsia="Times New Roman"/>
                <w:sz w:val="20"/>
                <w:szCs w:val="20"/>
                <w:lang w:eastAsia="bs-Latn-BA"/>
              </w:rPr>
            </w:pPr>
          </w:p>
        </w:tc>
        <w:tc>
          <w:tcPr>
            <w:tcW w:w="1365" w:type="dxa"/>
            <w:vAlign w:val="center"/>
            <w:hideMark/>
          </w:tcPr>
          <w:p w:rsidR="002B00E7" w:rsidRDefault="002B00E7">
            <w:pPr>
              <w:rPr>
                <w:rFonts w:eastAsia="Times New Roman"/>
                <w:sz w:val="20"/>
                <w:szCs w:val="20"/>
                <w:lang w:eastAsia="bs-Latn-BA"/>
              </w:rPr>
            </w:pPr>
          </w:p>
        </w:tc>
        <w:tc>
          <w:tcPr>
            <w:tcW w:w="1440" w:type="dxa"/>
            <w:vAlign w:val="center"/>
            <w:hideMark/>
          </w:tcPr>
          <w:p w:rsidR="002B00E7" w:rsidRDefault="002B00E7">
            <w:pPr>
              <w:rPr>
                <w:rFonts w:eastAsia="Times New Roman"/>
                <w:sz w:val="20"/>
                <w:szCs w:val="20"/>
                <w:lang w:eastAsia="bs-Latn-BA"/>
              </w:rPr>
            </w:pPr>
          </w:p>
        </w:tc>
        <w:tc>
          <w:tcPr>
            <w:tcW w:w="1440" w:type="dxa"/>
            <w:vAlign w:val="center"/>
            <w:hideMark/>
          </w:tcPr>
          <w:p w:rsidR="002B00E7" w:rsidRDefault="002B00E7">
            <w:pPr>
              <w:rPr>
                <w:rFonts w:eastAsia="Times New Roman"/>
                <w:sz w:val="20"/>
                <w:szCs w:val="20"/>
                <w:lang w:eastAsia="bs-Latn-BA"/>
              </w:rPr>
            </w:pPr>
          </w:p>
        </w:tc>
        <w:tc>
          <w:tcPr>
            <w:tcW w:w="1425" w:type="dxa"/>
            <w:vAlign w:val="center"/>
            <w:hideMark/>
          </w:tcPr>
          <w:p w:rsidR="002B00E7" w:rsidRDefault="002B00E7">
            <w:pPr>
              <w:rPr>
                <w:rFonts w:eastAsia="Times New Roman"/>
                <w:sz w:val="20"/>
                <w:szCs w:val="20"/>
                <w:lang w:eastAsia="bs-Latn-BA"/>
              </w:rPr>
            </w:pPr>
          </w:p>
        </w:tc>
        <w:tc>
          <w:tcPr>
            <w:tcW w:w="1215" w:type="dxa"/>
            <w:vAlign w:val="center"/>
            <w:hideMark/>
          </w:tcPr>
          <w:p w:rsidR="002B00E7" w:rsidRDefault="002B00E7">
            <w:pPr>
              <w:rPr>
                <w:rFonts w:eastAsia="Times New Roman"/>
                <w:sz w:val="20"/>
                <w:szCs w:val="20"/>
                <w:lang w:eastAsia="bs-Latn-BA"/>
              </w:rPr>
            </w:pPr>
          </w:p>
        </w:tc>
      </w:tr>
    </w:tbl>
    <w:p w:rsidR="002B00E7" w:rsidRDefault="002B00E7" w:rsidP="002B00E7">
      <w:pPr>
        <w:jc w:val="both"/>
        <w:rPr>
          <w:b/>
          <w:bCs/>
          <w:lang w:val="hr-BA"/>
        </w:rPr>
      </w:pPr>
    </w:p>
    <w:p w:rsidR="002B00E7" w:rsidRDefault="002B00E7" w:rsidP="002B00E7">
      <w:pPr>
        <w:jc w:val="both"/>
        <w:rPr>
          <w:b/>
          <w:bCs/>
          <w:lang w:val="hr-BA"/>
        </w:rPr>
      </w:pPr>
    </w:p>
    <w:p w:rsidR="002B00E7" w:rsidRDefault="002B00E7" w:rsidP="002B00E7">
      <w:pPr>
        <w:jc w:val="center"/>
        <w:rPr>
          <w:b/>
          <w:bCs/>
          <w:lang w:val="hr-BA"/>
        </w:rPr>
      </w:pPr>
      <w:r>
        <w:rPr>
          <w:b/>
          <w:bCs/>
          <w:lang w:val="hr-BA"/>
        </w:rPr>
        <w:t>Pregled predmeta sa Plana rješavanja predmeta  za 2021.godinu po starosti inicijalnog akta</w:t>
      </w:r>
    </w:p>
    <w:p w:rsidR="002B00E7" w:rsidRDefault="002B00E7" w:rsidP="002B00E7">
      <w:pPr>
        <w:jc w:val="both"/>
        <w:rPr>
          <w:b/>
          <w:bCs/>
          <w:lang w:val="hr-BA"/>
        </w:rPr>
      </w:pPr>
    </w:p>
    <w:tbl>
      <w:tblPr>
        <w:tblW w:w="5038" w:type="pct"/>
        <w:jc w:val="center"/>
        <w:tblCellMar>
          <w:left w:w="0" w:type="dxa"/>
          <w:right w:w="0" w:type="dxa"/>
        </w:tblCellMar>
        <w:tblLook w:val="04A0" w:firstRow="1" w:lastRow="0" w:firstColumn="1" w:lastColumn="0" w:noHBand="0" w:noVBand="1"/>
      </w:tblPr>
      <w:tblGrid>
        <w:gridCol w:w="1086"/>
        <w:gridCol w:w="1208"/>
        <w:gridCol w:w="1152"/>
        <w:gridCol w:w="1019"/>
        <w:gridCol w:w="1176"/>
        <w:gridCol w:w="1011"/>
        <w:gridCol w:w="1368"/>
        <w:gridCol w:w="1054"/>
      </w:tblGrid>
      <w:tr w:rsidR="002B00E7" w:rsidTr="002B00E7">
        <w:trPr>
          <w:jc w:val="center"/>
        </w:trPr>
        <w:tc>
          <w:tcPr>
            <w:tcW w:w="598" w:type="pct"/>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tcPr>
          <w:p w:rsidR="002B00E7" w:rsidRDefault="002B00E7">
            <w:pPr>
              <w:spacing w:line="252" w:lineRule="auto"/>
              <w:jc w:val="both"/>
              <w:rPr>
                <w:rFonts w:ascii="Calibri" w:hAnsi="Calibri" w:cs="Calibri"/>
                <w:sz w:val="20"/>
                <w:szCs w:val="20"/>
                <w:lang w:val="hr-BA"/>
              </w:rPr>
            </w:pPr>
          </w:p>
        </w:tc>
        <w:tc>
          <w:tcPr>
            <w:tcW w:w="665" w:type="pct"/>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Predmeti</w:t>
            </w:r>
          </w:p>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 xml:space="preserve">inicirani </w:t>
            </w:r>
          </w:p>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 2021. godine</w:t>
            </w:r>
          </w:p>
        </w:tc>
        <w:tc>
          <w:tcPr>
            <w:tcW w:w="634" w:type="pct"/>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Predmeti</w:t>
            </w:r>
          </w:p>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Inicirani</w:t>
            </w:r>
          </w:p>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2020.-2019.</w:t>
            </w:r>
          </w:p>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godine</w:t>
            </w:r>
          </w:p>
        </w:tc>
        <w:tc>
          <w:tcPr>
            <w:tcW w:w="561" w:type="pct"/>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Predmeti inicirani 2018.-2017. godine</w:t>
            </w:r>
          </w:p>
        </w:tc>
        <w:tc>
          <w:tcPr>
            <w:tcW w:w="648" w:type="pct"/>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Predmeti inicirani 2016.-2013. godine</w:t>
            </w:r>
          </w:p>
        </w:tc>
        <w:tc>
          <w:tcPr>
            <w:tcW w:w="557" w:type="pct"/>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Predmeti inicirani 2012.-2008. godine</w:t>
            </w:r>
          </w:p>
        </w:tc>
        <w:tc>
          <w:tcPr>
            <w:tcW w:w="754" w:type="pct"/>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jc w:val="both"/>
              <w:rPr>
                <w:rFonts w:ascii="Calibri" w:hAnsi="Calibri" w:cs="Calibri"/>
                <w:b/>
                <w:bCs/>
                <w:color w:val="000000"/>
                <w:sz w:val="20"/>
                <w:szCs w:val="20"/>
                <w:lang w:val="hr-BA"/>
              </w:rPr>
            </w:pPr>
            <w:r>
              <w:rPr>
                <w:rFonts w:ascii="Calibri" w:hAnsi="Calibri" w:cs="Calibri"/>
                <w:b/>
                <w:bCs/>
                <w:color w:val="000000"/>
                <w:sz w:val="20"/>
                <w:szCs w:val="20"/>
                <w:lang w:val="hr-BA"/>
              </w:rPr>
              <w:t>Predmeti inicirani 2007. godine i ranije</w:t>
            </w:r>
          </w:p>
        </w:tc>
        <w:tc>
          <w:tcPr>
            <w:tcW w:w="581" w:type="pct"/>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jc w:val="both"/>
              <w:rPr>
                <w:rFonts w:ascii="Calibri" w:hAnsi="Calibri" w:cs="Calibri"/>
                <w:b/>
                <w:bCs/>
                <w:sz w:val="20"/>
                <w:szCs w:val="20"/>
                <w:lang w:val="hr-BA" w:eastAsia="sr-Latn-CS"/>
              </w:rPr>
            </w:pPr>
            <w:r>
              <w:rPr>
                <w:rFonts w:ascii="Calibri" w:hAnsi="Calibri" w:cs="Calibri"/>
                <w:b/>
                <w:bCs/>
                <w:color w:val="000000"/>
                <w:sz w:val="20"/>
                <w:szCs w:val="20"/>
                <w:lang w:val="hr-BA"/>
              </w:rPr>
              <w:t xml:space="preserve">Ukupan broj predmeta </w:t>
            </w:r>
          </w:p>
        </w:tc>
      </w:tr>
      <w:tr w:rsidR="002B00E7" w:rsidTr="002B00E7">
        <w:trPr>
          <w:jc w:val="center"/>
        </w:trPr>
        <w:tc>
          <w:tcPr>
            <w:tcW w:w="598" w:type="pct"/>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rPr>
                <w:rFonts w:ascii="Calibri" w:hAnsi="Calibri" w:cs="Calibri"/>
                <w:b/>
                <w:bCs/>
                <w:sz w:val="20"/>
                <w:szCs w:val="20"/>
                <w:lang w:val="hr-BA"/>
              </w:rPr>
            </w:pPr>
            <w:r>
              <w:rPr>
                <w:rFonts w:ascii="Calibri" w:hAnsi="Calibri" w:cs="Calibri"/>
                <w:b/>
                <w:bCs/>
                <w:color w:val="000000"/>
                <w:sz w:val="20"/>
                <w:szCs w:val="20"/>
                <w:lang w:val="hr-BA"/>
              </w:rPr>
              <w:t xml:space="preserve">Broj predmeta u planu </w:t>
            </w:r>
          </w:p>
        </w:tc>
        <w:tc>
          <w:tcPr>
            <w:tcW w:w="6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rPr>
            </w:pPr>
            <w:r>
              <w:rPr>
                <w:rFonts w:ascii="Calibri" w:hAnsi="Calibri" w:cs="Calibri"/>
                <w:sz w:val="20"/>
                <w:szCs w:val="20"/>
                <w:lang w:val="hr-BA"/>
              </w:rPr>
              <w:t>69</w:t>
            </w:r>
          </w:p>
        </w:tc>
        <w:tc>
          <w:tcPr>
            <w:tcW w:w="6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rPr>
            </w:pPr>
            <w:r>
              <w:rPr>
                <w:rFonts w:ascii="Calibri" w:hAnsi="Calibri" w:cs="Calibri"/>
                <w:sz w:val="20"/>
                <w:szCs w:val="20"/>
                <w:lang w:val="hr-BA"/>
              </w:rPr>
              <w:t>384</w:t>
            </w:r>
          </w:p>
        </w:tc>
        <w:tc>
          <w:tcPr>
            <w:tcW w:w="56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rPr>
            </w:pPr>
            <w:r>
              <w:rPr>
                <w:rFonts w:ascii="Calibri" w:hAnsi="Calibri" w:cs="Calibri"/>
                <w:sz w:val="20"/>
                <w:szCs w:val="20"/>
                <w:lang w:val="hr-BA"/>
              </w:rPr>
              <w:t>325</w:t>
            </w:r>
          </w:p>
        </w:tc>
        <w:tc>
          <w:tcPr>
            <w:tcW w:w="6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rPr>
            </w:pPr>
            <w:r>
              <w:rPr>
                <w:rFonts w:ascii="Calibri" w:hAnsi="Calibri" w:cs="Calibri"/>
                <w:sz w:val="20"/>
                <w:szCs w:val="20"/>
                <w:lang w:val="hr-BA"/>
              </w:rPr>
              <w:t>1614</w:t>
            </w:r>
          </w:p>
        </w:tc>
        <w:tc>
          <w:tcPr>
            <w:tcW w:w="55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rPr>
            </w:pPr>
            <w:r>
              <w:rPr>
                <w:rFonts w:ascii="Calibri" w:hAnsi="Calibri" w:cs="Calibri"/>
                <w:sz w:val="20"/>
                <w:szCs w:val="20"/>
                <w:lang w:val="hr-BA"/>
              </w:rPr>
              <w:t>317</w:t>
            </w:r>
          </w:p>
        </w:tc>
        <w:tc>
          <w:tcPr>
            <w:tcW w:w="75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rPr>
            </w:pPr>
            <w:r>
              <w:rPr>
                <w:rFonts w:ascii="Calibri" w:hAnsi="Calibri" w:cs="Calibri"/>
                <w:sz w:val="20"/>
                <w:szCs w:val="20"/>
                <w:lang w:val="hr-BA"/>
              </w:rPr>
              <w:t>47</w:t>
            </w:r>
          </w:p>
        </w:tc>
        <w:tc>
          <w:tcPr>
            <w:tcW w:w="58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rPr>
            </w:pPr>
            <w:r>
              <w:rPr>
                <w:rFonts w:ascii="Calibri" w:hAnsi="Calibri" w:cs="Calibri"/>
                <w:b/>
                <w:bCs/>
                <w:sz w:val="20"/>
                <w:szCs w:val="20"/>
                <w:lang w:val="hr-BA"/>
              </w:rPr>
              <w:t>2756</w:t>
            </w:r>
          </w:p>
        </w:tc>
      </w:tr>
      <w:tr w:rsidR="002B00E7" w:rsidTr="002B00E7">
        <w:trPr>
          <w:jc w:val="center"/>
        </w:trPr>
        <w:tc>
          <w:tcPr>
            <w:tcW w:w="598" w:type="pct"/>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rPr>
                <w:rFonts w:ascii="Calibri" w:hAnsi="Calibri" w:cs="Calibri"/>
                <w:b/>
                <w:bCs/>
                <w:sz w:val="20"/>
                <w:szCs w:val="20"/>
                <w:lang w:val="hr-BA" w:eastAsia="sr-Latn-CS"/>
              </w:rPr>
            </w:pPr>
            <w:r>
              <w:rPr>
                <w:rFonts w:ascii="Calibri" w:hAnsi="Calibri" w:cs="Calibri"/>
                <w:b/>
                <w:bCs/>
                <w:color w:val="000000"/>
                <w:sz w:val="20"/>
                <w:szCs w:val="20"/>
                <w:lang w:val="hr-BA" w:eastAsia="sr-Latn-CS"/>
              </w:rPr>
              <w:t>Neriješeni predmeti iz plana</w:t>
            </w:r>
          </w:p>
        </w:tc>
        <w:tc>
          <w:tcPr>
            <w:tcW w:w="6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0</w:t>
            </w:r>
          </w:p>
        </w:tc>
        <w:tc>
          <w:tcPr>
            <w:tcW w:w="6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26</w:t>
            </w:r>
          </w:p>
        </w:tc>
        <w:tc>
          <w:tcPr>
            <w:tcW w:w="56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4</w:t>
            </w:r>
          </w:p>
        </w:tc>
        <w:tc>
          <w:tcPr>
            <w:tcW w:w="6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3</w:t>
            </w:r>
          </w:p>
        </w:tc>
        <w:tc>
          <w:tcPr>
            <w:tcW w:w="55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0</w:t>
            </w:r>
          </w:p>
        </w:tc>
        <w:tc>
          <w:tcPr>
            <w:tcW w:w="75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2</w:t>
            </w:r>
          </w:p>
        </w:tc>
        <w:tc>
          <w:tcPr>
            <w:tcW w:w="58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35</w:t>
            </w:r>
          </w:p>
        </w:tc>
      </w:tr>
      <w:tr w:rsidR="002B00E7" w:rsidTr="002B00E7">
        <w:trPr>
          <w:jc w:val="center"/>
        </w:trPr>
        <w:tc>
          <w:tcPr>
            <w:tcW w:w="598" w:type="pct"/>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rsidR="002B00E7" w:rsidRDefault="002B00E7">
            <w:pPr>
              <w:spacing w:line="252" w:lineRule="auto"/>
              <w:rPr>
                <w:rFonts w:ascii="Calibri" w:hAnsi="Calibri" w:cs="Calibri"/>
                <w:b/>
                <w:bCs/>
                <w:sz w:val="20"/>
                <w:szCs w:val="20"/>
                <w:lang w:val="hr-BA" w:eastAsia="sr-Latn-CS"/>
              </w:rPr>
            </w:pPr>
            <w:r>
              <w:rPr>
                <w:rFonts w:ascii="Calibri" w:hAnsi="Calibri" w:cs="Calibri"/>
                <w:b/>
                <w:bCs/>
                <w:color w:val="000000"/>
                <w:sz w:val="20"/>
                <w:szCs w:val="20"/>
                <w:lang w:val="hr-BA" w:eastAsia="sr-Latn-CS"/>
              </w:rPr>
              <w:t>Riješeni predmeti iz plana</w:t>
            </w:r>
          </w:p>
        </w:tc>
        <w:tc>
          <w:tcPr>
            <w:tcW w:w="6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69</w:t>
            </w:r>
          </w:p>
        </w:tc>
        <w:tc>
          <w:tcPr>
            <w:tcW w:w="6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358</w:t>
            </w:r>
          </w:p>
        </w:tc>
        <w:tc>
          <w:tcPr>
            <w:tcW w:w="56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321</w:t>
            </w:r>
          </w:p>
        </w:tc>
        <w:tc>
          <w:tcPr>
            <w:tcW w:w="6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1611</w:t>
            </w:r>
          </w:p>
        </w:tc>
        <w:tc>
          <w:tcPr>
            <w:tcW w:w="55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317</w:t>
            </w:r>
          </w:p>
        </w:tc>
        <w:tc>
          <w:tcPr>
            <w:tcW w:w="75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sz w:val="20"/>
                <w:szCs w:val="20"/>
                <w:lang w:val="hr-BA" w:eastAsia="sr-Latn-CS"/>
              </w:rPr>
            </w:pPr>
            <w:r>
              <w:rPr>
                <w:rFonts w:ascii="Calibri" w:hAnsi="Calibri" w:cs="Calibri"/>
                <w:sz w:val="20"/>
                <w:szCs w:val="20"/>
                <w:lang w:val="hr-BA" w:eastAsia="sr-Latn-CS"/>
              </w:rPr>
              <w:t>45</w:t>
            </w:r>
          </w:p>
        </w:tc>
        <w:tc>
          <w:tcPr>
            <w:tcW w:w="58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2721</w:t>
            </w:r>
          </w:p>
        </w:tc>
      </w:tr>
      <w:tr w:rsidR="002B00E7" w:rsidTr="002B00E7">
        <w:trPr>
          <w:jc w:val="center"/>
        </w:trPr>
        <w:tc>
          <w:tcPr>
            <w:tcW w:w="598" w:type="pct"/>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tcPr>
          <w:p w:rsidR="002B00E7" w:rsidRDefault="002B00E7">
            <w:pPr>
              <w:spacing w:line="252" w:lineRule="auto"/>
              <w:rPr>
                <w:rFonts w:ascii="Calibri" w:hAnsi="Calibri" w:cs="Calibri"/>
                <w:b/>
                <w:bCs/>
                <w:sz w:val="20"/>
                <w:szCs w:val="20"/>
                <w:lang w:val="hr-BA" w:eastAsia="sr-Latn-CS"/>
              </w:rPr>
            </w:pPr>
            <w:r>
              <w:rPr>
                <w:rFonts w:ascii="Calibri" w:hAnsi="Calibri" w:cs="Calibri"/>
                <w:b/>
                <w:bCs/>
                <w:color w:val="000000"/>
                <w:sz w:val="20"/>
                <w:szCs w:val="20"/>
                <w:lang w:val="hr-BA" w:eastAsia="sr-Latn-CS"/>
              </w:rPr>
              <w:t>% realizacije</w:t>
            </w:r>
          </w:p>
          <w:p w:rsidR="002B00E7" w:rsidRDefault="002B00E7">
            <w:pPr>
              <w:spacing w:line="252" w:lineRule="auto"/>
              <w:rPr>
                <w:rFonts w:ascii="Calibri" w:hAnsi="Calibri" w:cs="Calibri"/>
                <w:b/>
                <w:bCs/>
                <w:sz w:val="20"/>
                <w:szCs w:val="20"/>
                <w:lang w:val="hr-BA" w:eastAsia="sr-Latn-CS"/>
              </w:rPr>
            </w:pPr>
          </w:p>
        </w:tc>
        <w:tc>
          <w:tcPr>
            <w:tcW w:w="6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100%</w:t>
            </w:r>
          </w:p>
        </w:tc>
        <w:tc>
          <w:tcPr>
            <w:tcW w:w="6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93,23%</w:t>
            </w:r>
          </w:p>
        </w:tc>
        <w:tc>
          <w:tcPr>
            <w:tcW w:w="56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98,77%</w:t>
            </w:r>
          </w:p>
        </w:tc>
        <w:tc>
          <w:tcPr>
            <w:tcW w:w="6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99,81%</w:t>
            </w:r>
          </w:p>
        </w:tc>
        <w:tc>
          <w:tcPr>
            <w:tcW w:w="55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100%</w:t>
            </w:r>
          </w:p>
        </w:tc>
        <w:tc>
          <w:tcPr>
            <w:tcW w:w="75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95,74%</w:t>
            </w:r>
          </w:p>
        </w:tc>
        <w:tc>
          <w:tcPr>
            <w:tcW w:w="58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B00E7" w:rsidRDefault="002B00E7">
            <w:pPr>
              <w:spacing w:line="252" w:lineRule="auto"/>
              <w:jc w:val="center"/>
              <w:rPr>
                <w:rFonts w:ascii="Calibri" w:hAnsi="Calibri" w:cs="Calibri"/>
                <w:b/>
                <w:bCs/>
                <w:sz w:val="20"/>
                <w:szCs w:val="20"/>
                <w:lang w:val="hr-BA" w:eastAsia="sr-Latn-CS"/>
              </w:rPr>
            </w:pPr>
            <w:r>
              <w:rPr>
                <w:rFonts w:ascii="Calibri" w:hAnsi="Calibri" w:cs="Calibri"/>
                <w:b/>
                <w:bCs/>
                <w:sz w:val="20"/>
                <w:szCs w:val="20"/>
                <w:lang w:val="hr-BA" w:eastAsia="sr-Latn-CS"/>
              </w:rPr>
              <w:t>98,73%</w:t>
            </w:r>
          </w:p>
        </w:tc>
      </w:tr>
    </w:tbl>
    <w:p w:rsidR="002B00E7" w:rsidRDefault="002B00E7" w:rsidP="002B00E7">
      <w:pPr>
        <w:jc w:val="both"/>
        <w:rPr>
          <w:lang w:val="hr-BA"/>
        </w:rPr>
      </w:pPr>
    </w:p>
    <w:p w:rsidR="002B00E7" w:rsidRDefault="002B00E7" w:rsidP="002B00E7">
      <w:pPr>
        <w:jc w:val="both"/>
        <w:rPr>
          <w:lang w:val="hr-BA"/>
        </w:rPr>
      </w:pPr>
      <w:r>
        <w:rPr>
          <w:i/>
          <w:iCs/>
          <w:lang w:val="hr-BA"/>
        </w:rPr>
        <w:t xml:space="preserve">            </w:t>
      </w:r>
      <w:r>
        <w:rPr>
          <w:lang w:val="hr-BA"/>
        </w:rPr>
        <w:t>Po izvještaju o Planu rješavanja predmeta za 2021. godinu vidljivo je da ovaj sud konstantno rješava predmete po starosti inicijalnog akta na svim planovima za 2021.godinu od  ukupno podijeljenih 2756  predmeta  riješeno je 2721 predmet, što znači da nije riješeno 35 predmeta, a na kraju izvještajnog perioda sa plana u 2021.godini  2 predmeta proglašeno nerješivim i to na građanskom referatu, što znači da samo 33 predmeta s plana koji su se mogli rješavati u 2021.godini nije riješeno što je veoma dobar rezultat na svim referatima koji su obuhvaćeni planom što i sam postotak rješavanja predmeta u iznosu od 98,73% je pokazatelj zalaganja predsjednika suda i svih sudaca na rješavanju predmeta sa najstarijim inicijalnim aktima, iako je ovaj sud morao raditi predmete hitne prirode, koji ne ulaze u plan rješavanja predmeta.</w:t>
      </w:r>
    </w:p>
    <w:p w:rsidR="002B00E7" w:rsidRDefault="002B00E7" w:rsidP="002B00E7">
      <w:pPr>
        <w:jc w:val="center"/>
        <w:rPr>
          <w:b/>
          <w:bCs/>
          <w:lang w:val="hr-BA"/>
        </w:rPr>
      </w:pPr>
    </w:p>
    <w:p w:rsidR="002B00E7" w:rsidRDefault="002B00E7" w:rsidP="002B00E7">
      <w:pPr>
        <w:pStyle w:val="Naslov1"/>
        <w:rPr>
          <w:rFonts w:eastAsia="Times New Roman"/>
          <w:lang w:val="hr-HR"/>
        </w:rPr>
      </w:pPr>
    </w:p>
    <w:p w:rsidR="002B00E7" w:rsidRDefault="002B00E7" w:rsidP="002B00E7">
      <w:pPr>
        <w:jc w:val="center"/>
        <w:rPr>
          <w:b/>
          <w:bCs/>
          <w:i/>
          <w:iCs/>
          <w:lang w:val="hr-BA"/>
        </w:rPr>
      </w:pPr>
      <w:r>
        <w:rPr>
          <w:b/>
          <w:bCs/>
          <w:i/>
          <w:iCs/>
          <w:lang w:val="hr-BA"/>
        </w:rPr>
        <w:t>KVALITET RADA SUDA PO REDOVITIM I VANREDNIM PRAVNIM LIJEKOVIMA U 2021. GODINI</w:t>
      </w:r>
    </w:p>
    <w:p w:rsidR="002B00E7" w:rsidRDefault="002B00E7" w:rsidP="002B00E7">
      <w:pPr>
        <w:pStyle w:val="Bezproreda"/>
        <w:jc w:val="both"/>
        <w:rPr>
          <w:rFonts w:ascii="Times New Roman" w:hAnsi="Times New Roman" w:cs="Times New Roman"/>
          <w:i/>
          <w:iCs/>
          <w:sz w:val="24"/>
          <w:szCs w:val="24"/>
        </w:rPr>
      </w:pPr>
    </w:p>
    <w:p w:rsidR="002B00E7" w:rsidRDefault="002B00E7" w:rsidP="002B00E7">
      <w:pPr>
        <w:pStyle w:val="Bezproreda"/>
        <w:jc w:val="both"/>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 xml:space="preserve">Kada su u pitanju žalbeni i vanredni pravni lijekovi, odnosno revizijski postupci protiv odluka ovog suda koji su u izvještajnom periodu rješavani pred Vrhovnim sudom Federacije BiH, a koji ukazuju na kvalitetu rada ovog suda, za 2021. godinu mogu se prezentirati slijedeći pokazatelji: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jc w:val="both"/>
        <w:rPr>
          <w:rFonts w:ascii="Times New Roman" w:hAnsi="Times New Roman" w:cs="Times New Roman"/>
          <w:b/>
          <w:bCs/>
          <w:sz w:val="24"/>
          <w:szCs w:val="24"/>
        </w:rPr>
      </w:pPr>
      <w:r>
        <w:rPr>
          <w:rFonts w:ascii="Times New Roman" w:hAnsi="Times New Roman" w:cs="Times New Roman"/>
          <w:b/>
          <w:bCs/>
          <w:sz w:val="24"/>
          <w:szCs w:val="24"/>
        </w:rPr>
        <w:t xml:space="preserve">Žalbe u krivičnim (K, </w:t>
      </w:r>
      <w:proofErr w:type="spellStart"/>
      <w:r>
        <w:rPr>
          <w:rFonts w:ascii="Times New Roman" w:hAnsi="Times New Roman" w:cs="Times New Roman"/>
          <w:b/>
          <w:bCs/>
          <w:sz w:val="24"/>
          <w:szCs w:val="24"/>
        </w:rPr>
        <w:t>Kv</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Kž</w:t>
      </w:r>
      <w:proofErr w:type="spellEnd"/>
      <w:r>
        <w:rPr>
          <w:rFonts w:ascii="Times New Roman" w:hAnsi="Times New Roman" w:cs="Times New Roman"/>
          <w:b/>
          <w:bCs/>
          <w:sz w:val="24"/>
          <w:szCs w:val="24"/>
        </w:rPr>
        <w:t xml:space="preserve"> i </w:t>
      </w:r>
      <w:proofErr w:type="spellStart"/>
      <w:r>
        <w:rPr>
          <w:rFonts w:ascii="Times New Roman" w:hAnsi="Times New Roman" w:cs="Times New Roman"/>
          <w:b/>
          <w:bCs/>
          <w:sz w:val="24"/>
          <w:szCs w:val="24"/>
        </w:rPr>
        <w:t>Kžk</w:t>
      </w:r>
      <w:proofErr w:type="spellEnd"/>
      <w:r>
        <w:rPr>
          <w:rFonts w:ascii="Times New Roman" w:hAnsi="Times New Roman" w:cs="Times New Roman"/>
          <w:b/>
          <w:bCs/>
          <w:sz w:val="24"/>
          <w:szCs w:val="24"/>
        </w:rPr>
        <w:t xml:space="preserve">) predmetima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Na krivičnom referatu ovog suda ukupno je završeno 20 K predmeta, na koje se može izjaviti pravni lijek. Vrhovni sud Federacije BiH je u izvještajnom periodu riješio 10  predmeta i tom prilikom 4 odluke potvrdio (45%), 5 ukinuo  (55%)..Od toga moramo izdvojiti predmete ratnih zločina od  kojih je ukupno završena 8 predmeta, 6 u meritum i 2 na drugi način, 1 predmet ratnih zločina potvrđena i 1 predmet djelomično ukinut i 1 ukinut..   Po žalbama u drugostupanjskim kaznenim predmetima (</w:t>
      </w:r>
      <w:proofErr w:type="spellStart"/>
      <w:r>
        <w:rPr>
          <w:rFonts w:ascii="Times New Roman" w:hAnsi="Times New Roman" w:cs="Times New Roman"/>
          <w:sz w:val="24"/>
          <w:szCs w:val="24"/>
        </w:rPr>
        <w:t>Kv</w:t>
      </w:r>
      <w:proofErr w:type="spellEnd"/>
      <w:r>
        <w:rPr>
          <w:rFonts w:ascii="Times New Roman" w:hAnsi="Times New Roman" w:cs="Times New Roman"/>
          <w:sz w:val="24"/>
          <w:szCs w:val="24"/>
        </w:rPr>
        <w:t xml:space="preserve">) ovog suda Vrhovni sud </w:t>
      </w:r>
      <w:proofErr w:type="spellStart"/>
      <w:r>
        <w:rPr>
          <w:rFonts w:ascii="Times New Roman" w:hAnsi="Times New Roman" w:cs="Times New Roman"/>
          <w:sz w:val="24"/>
          <w:szCs w:val="24"/>
        </w:rPr>
        <w:t>FBiH</w:t>
      </w:r>
      <w:proofErr w:type="spellEnd"/>
      <w:r>
        <w:rPr>
          <w:rFonts w:ascii="Times New Roman" w:hAnsi="Times New Roman" w:cs="Times New Roman"/>
          <w:sz w:val="24"/>
          <w:szCs w:val="24"/>
        </w:rPr>
        <w:t xml:space="preserve"> je u izvještajnom periodu riješio 30 predmeta i od toga 24 odluka potvrdio ,1 odluku preinačio i  3 odluke ukinuo i 2 djelomično ukinuo, što procentualno iznosi 80% potvrđenih, 4% </w:t>
      </w:r>
      <w:proofErr w:type="spellStart"/>
      <w:r>
        <w:rPr>
          <w:rFonts w:ascii="Times New Roman" w:hAnsi="Times New Roman" w:cs="Times New Roman"/>
          <w:sz w:val="24"/>
          <w:szCs w:val="24"/>
        </w:rPr>
        <w:t>preinačenih</w:t>
      </w:r>
      <w:proofErr w:type="spellEnd"/>
      <w:r>
        <w:rPr>
          <w:rFonts w:ascii="Times New Roman" w:hAnsi="Times New Roman" w:cs="Times New Roman"/>
          <w:sz w:val="24"/>
          <w:szCs w:val="24"/>
        </w:rPr>
        <w:t xml:space="preserve">  i 16% ukinutih odluka.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jc w:val="both"/>
        <w:rPr>
          <w:rFonts w:ascii="Times New Roman" w:hAnsi="Times New Roman" w:cs="Times New Roman"/>
          <w:b/>
          <w:bCs/>
          <w:sz w:val="24"/>
          <w:szCs w:val="24"/>
        </w:rPr>
      </w:pPr>
      <w:r>
        <w:rPr>
          <w:rFonts w:ascii="Times New Roman" w:hAnsi="Times New Roman" w:cs="Times New Roman"/>
          <w:b/>
          <w:bCs/>
          <w:sz w:val="24"/>
          <w:szCs w:val="24"/>
        </w:rPr>
        <w:t xml:space="preserve">Vanredni pravni lijekovi u predmetima upravnih sporova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Na upravnom referatu a po vanrednim pravnim lijekovima  u predmetima upravnih sporova ovog suda Vrhovni sud Federacije BiH je ukupno u izvještajnom periodu riješio 237 U  predmeta, od toga 8 odbačenih pravnih lijeka, a kada se odbiju odbačeni pravni lijekovi, koji ne utječu na </w:t>
      </w:r>
      <w:proofErr w:type="spellStart"/>
      <w:r>
        <w:rPr>
          <w:rFonts w:ascii="Times New Roman" w:hAnsi="Times New Roman" w:cs="Times New Roman"/>
          <w:sz w:val="24"/>
          <w:szCs w:val="24"/>
        </w:rPr>
        <w:t>kvalitet</w:t>
      </w:r>
      <w:proofErr w:type="spellEnd"/>
      <w:r>
        <w:rPr>
          <w:rFonts w:ascii="Times New Roman" w:hAnsi="Times New Roman" w:cs="Times New Roman"/>
          <w:sz w:val="24"/>
          <w:szCs w:val="24"/>
        </w:rPr>
        <w:t xml:space="preserve"> suda ,onda je od ukupno 229 donesene odluke: potvrđene 162 odluke (71%), preinačene 44 odluke (19%), ukinuo 23 odluke (10%). Povećan je broj predmeta Uz (zahtjeva za zaštitu zakonitosti) po kojima je Vrhovni sud </w:t>
      </w:r>
      <w:proofErr w:type="spellStart"/>
      <w:r>
        <w:rPr>
          <w:rFonts w:ascii="Times New Roman" w:hAnsi="Times New Roman" w:cs="Times New Roman"/>
          <w:sz w:val="24"/>
          <w:szCs w:val="24"/>
        </w:rPr>
        <w:t>FBiH</w:t>
      </w:r>
      <w:proofErr w:type="spellEnd"/>
      <w:r>
        <w:rPr>
          <w:rFonts w:ascii="Times New Roman" w:hAnsi="Times New Roman" w:cs="Times New Roman"/>
          <w:sz w:val="24"/>
          <w:szCs w:val="24"/>
        </w:rPr>
        <w:t xml:space="preserve"> donio odluke  i  to sveukupno 31 Uz predmet, od toga  5  potvrđenih (16%), 1 ukinuta (3%)  i 25 odluka preinačeno (81%) što je dobar </w:t>
      </w:r>
      <w:proofErr w:type="spellStart"/>
      <w:r>
        <w:rPr>
          <w:rFonts w:ascii="Times New Roman" w:hAnsi="Times New Roman" w:cs="Times New Roman"/>
          <w:sz w:val="24"/>
          <w:szCs w:val="24"/>
        </w:rPr>
        <w:t>kvalitet</w:t>
      </w:r>
      <w:proofErr w:type="spellEnd"/>
      <w:r>
        <w:rPr>
          <w:rFonts w:ascii="Times New Roman" w:hAnsi="Times New Roman" w:cs="Times New Roman"/>
          <w:sz w:val="24"/>
          <w:szCs w:val="24"/>
        </w:rPr>
        <w:t xml:space="preserve"> na upravnom referatu.. Vrhovni sud </w:t>
      </w:r>
      <w:proofErr w:type="spellStart"/>
      <w:r>
        <w:rPr>
          <w:rFonts w:ascii="Times New Roman" w:hAnsi="Times New Roman" w:cs="Times New Roman"/>
          <w:sz w:val="24"/>
          <w:szCs w:val="24"/>
        </w:rPr>
        <w:t>FBiH</w:t>
      </w:r>
      <w:proofErr w:type="spellEnd"/>
      <w:r>
        <w:rPr>
          <w:rFonts w:ascii="Times New Roman" w:hAnsi="Times New Roman" w:cs="Times New Roman"/>
          <w:sz w:val="24"/>
          <w:szCs w:val="24"/>
        </w:rPr>
        <w:t xml:space="preserve">  je također dostavio izvještaj o predmetima koji su ukinuti ili ukinute u nebitnom djelu u kojima je odlučivao pa se isti neće računati u statističku kvalitetu suda i to  samo1  odluka ovog suda. </w:t>
      </w:r>
    </w:p>
    <w:p w:rsidR="002B00E7" w:rsidRDefault="002B00E7" w:rsidP="002B00E7">
      <w:pPr>
        <w:pStyle w:val="Bezproreda"/>
        <w:jc w:val="both"/>
        <w:rPr>
          <w:rFonts w:ascii="Times New Roman" w:hAnsi="Times New Roman" w:cs="Times New Roman"/>
          <w:sz w:val="24"/>
          <w:szCs w:val="24"/>
        </w:rPr>
      </w:pPr>
      <w:r>
        <w:rPr>
          <w:rFonts w:ascii="Times New Roman" w:hAnsi="Times New Roman" w:cs="Times New Roman"/>
          <w:sz w:val="24"/>
          <w:szCs w:val="24"/>
        </w:rPr>
        <w:t xml:space="preserve">. </w:t>
      </w:r>
    </w:p>
    <w:p w:rsidR="002B00E7" w:rsidRDefault="002B00E7" w:rsidP="002B00E7">
      <w:pPr>
        <w:pStyle w:val="Bezproreda"/>
        <w:jc w:val="both"/>
        <w:rPr>
          <w:rFonts w:ascii="Times New Roman" w:hAnsi="Times New Roman" w:cs="Times New Roman"/>
          <w:sz w:val="24"/>
          <w:szCs w:val="24"/>
        </w:rPr>
      </w:pPr>
      <w:r>
        <w:rPr>
          <w:rFonts w:ascii="Times New Roman" w:hAnsi="Times New Roman" w:cs="Times New Roman"/>
          <w:sz w:val="24"/>
          <w:szCs w:val="24"/>
        </w:rPr>
        <w:t>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jc w:val="both"/>
        <w:rPr>
          <w:rFonts w:ascii="Times New Roman" w:hAnsi="Times New Roman" w:cs="Times New Roman"/>
          <w:b/>
          <w:bCs/>
          <w:sz w:val="24"/>
          <w:szCs w:val="24"/>
        </w:rPr>
      </w:pPr>
      <w:r>
        <w:rPr>
          <w:rFonts w:ascii="Times New Roman" w:hAnsi="Times New Roman" w:cs="Times New Roman"/>
          <w:b/>
          <w:bCs/>
          <w:sz w:val="24"/>
          <w:szCs w:val="24"/>
        </w:rPr>
        <w:t>Revizije u drugostepenim privrednim i građanskim (</w:t>
      </w:r>
      <w:proofErr w:type="spellStart"/>
      <w:r>
        <w:rPr>
          <w:rFonts w:ascii="Times New Roman" w:hAnsi="Times New Roman" w:cs="Times New Roman"/>
          <w:b/>
          <w:bCs/>
          <w:sz w:val="24"/>
          <w:szCs w:val="24"/>
        </w:rPr>
        <w:t>Gž</w:t>
      </w:r>
      <w:proofErr w:type="spellEnd"/>
      <w:r>
        <w:rPr>
          <w:rFonts w:ascii="Times New Roman" w:hAnsi="Times New Roman" w:cs="Times New Roman"/>
          <w:b/>
          <w:bCs/>
          <w:sz w:val="24"/>
          <w:szCs w:val="24"/>
        </w:rPr>
        <w:t xml:space="preserve"> i </w:t>
      </w:r>
      <w:proofErr w:type="spellStart"/>
      <w:r>
        <w:rPr>
          <w:rFonts w:ascii="Times New Roman" w:hAnsi="Times New Roman" w:cs="Times New Roman"/>
          <w:b/>
          <w:bCs/>
          <w:sz w:val="24"/>
          <w:szCs w:val="24"/>
        </w:rPr>
        <w:t>Pž</w:t>
      </w:r>
      <w:proofErr w:type="spellEnd"/>
      <w:r>
        <w:rPr>
          <w:rFonts w:ascii="Times New Roman" w:hAnsi="Times New Roman" w:cs="Times New Roman"/>
          <w:b/>
          <w:bCs/>
          <w:sz w:val="24"/>
          <w:szCs w:val="24"/>
        </w:rPr>
        <w:t xml:space="preserve">) predmetima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Na građanskom referatu a po izjavljenim revizijama na odluke ovog suda u drugostupanjskim građanskim (</w:t>
      </w:r>
      <w:proofErr w:type="spellStart"/>
      <w:r>
        <w:rPr>
          <w:rFonts w:ascii="Times New Roman" w:hAnsi="Times New Roman" w:cs="Times New Roman"/>
          <w:sz w:val="24"/>
          <w:szCs w:val="24"/>
        </w:rPr>
        <w:t>Gž</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Rsž</w:t>
      </w:r>
      <w:proofErr w:type="spellEnd"/>
      <w:r>
        <w:rPr>
          <w:rFonts w:ascii="Times New Roman" w:hAnsi="Times New Roman" w:cs="Times New Roman"/>
          <w:sz w:val="24"/>
          <w:szCs w:val="24"/>
        </w:rPr>
        <w:t>) i drugostupanjskim privrednim predmetima (</w:t>
      </w:r>
      <w:proofErr w:type="spellStart"/>
      <w:r>
        <w:rPr>
          <w:rFonts w:ascii="Times New Roman" w:hAnsi="Times New Roman" w:cs="Times New Roman"/>
          <w:sz w:val="24"/>
          <w:szCs w:val="24"/>
        </w:rPr>
        <w:t>Pž</w:t>
      </w:r>
      <w:proofErr w:type="spellEnd"/>
      <w:r>
        <w:rPr>
          <w:rFonts w:ascii="Times New Roman" w:hAnsi="Times New Roman" w:cs="Times New Roman"/>
          <w:sz w:val="24"/>
          <w:szCs w:val="24"/>
        </w:rPr>
        <w:t xml:space="preserve">) predmeti, Vrhovni sud Federacije BiH je riješio u izvještajnom periodu  ukupno 233 predmeta po žalbama na odluke ovog suda, od toga 135 pravna lijeka su odbačena , koji ne utječu na </w:t>
      </w:r>
      <w:proofErr w:type="spellStart"/>
      <w:r>
        <w:rPr>
          <w:rFonts w:ascii="Times New Roman" w:hAnsi="Times New Roman" w:cs="Times New Roman"/>
          <w:sz w:val="24"/>
          <w:szCs w:val="24"/>
        </w:rPr>
        <w:t>kvalitet</w:t>
      </w:r>
      <w:proofErr w:type="spellEnd"/>
      <w:r>
        <w:rPr>
          <w:rFonts w:ascii="Times New Roman" w:hAnsi="Times New Roman" w:cs="Times New Roman"/>
          <w:sz w:val="24"/>
          <w:szCs w:val="24"/>
        </w:rPr>
        <w:t xml:space="preserve"> suda onda je od ukupno  98 odluka  85 odluka potvrđeno (86%), 5 preinačeno (5%), i 2 ukinutih i 6 djelomično ukinute (9%), što je jako dobar </w:t>
      </w:r>
      <w:proofErr w:type="spellStart"/>
      <w:r>
        <w:rPr>
          <w:rFonts w:ascii="Times New Roman" w:hAnsi="Times New Roman" w:cs="Times New Roman"/>
          <w:sz w:val="24"/>
          <w:szCs w:val="24"/>
        </w:rPr>
        <w:t>kvalitet</w:t>
      </w:r>
      <w:proofErr w:type="spellEnd"/>
      <w:r>
        <w:rPr>
          <w:rFonts w:ascii="Times New Roman" w:hAnsi="Times New Roman" w:cs="Times New Roman"/>
          <w:sz w:val="24"/>
          <w:szCs w:val="24"/>
        </w:rPr>
        <w:t xml:space="preserve"> rada ovog suda na  građanskom referatu.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jc w:val="both"/>
        <w:rPr>
          <w:rFonts w:ascii="Times New Roman" w:hAnsi="Times New Roman" w:cs="Times New Roman"/>
          <w:sz w:val="24"/>
          <w:szCs w:val="24"/>
          <w:u w:val="single"/>
        </w:rPr>
      </w:pPr>
      <w:r>
        <w:rPr>
          <w:rFonts w:ascii="Times New Roman" w:hAnsi="Times New Roman" w:cs="Times New Roman"/>
          <w:sz w:val="24"/>
          <w:szCs w:val="24"/>
          <w:u w:val="single"/>
        </w:rPr>
        <w:t xml:space="preserve">Ukupan rezultat po svim </w:t>
      </w:r>
      <w:proofErr w:type="spellStart"/>
      <w:r>
        <w:rPr>
          <w:rFonts w:ascii="Times New Roman" w:hAnsi="Times New Roman" w:cs="Times New Roman"/>
          <w:sz w:val="24"/>
          <w:szCs w:val="24"/>
          <w:u w:val="single"/>
        </w:rPr>
        <w:t>ožalbenim</w:t>
      </w:r>
      <w:proofErr w:type="spellEnd"/>
      <w:r>
        <w:rPr>
          <w:rFonts w:ascii="Times New Roman" w:hAnsi="Times New Roman" w:cs="Times New Roman"/>
          <w:sz w:val="24"/>
          <w:szCs w:val="24"/>
          <w:u w:val="single"/>
        </w:rPr>
        <w:t xml:space="preserve"> odlukama suda po odlukama apelacijskog suda za 2021. godinu  </w:t>
      </w:r>
    </w:p>
    <w:p w:rsidR="002B00E7" w:rsidRDefault="002B00E7" w:rsidP="002B00E7">
      <w:pPr>
        <w:pStyle w:val="Bezproreda"/>
        <w:jc w:val="both"/>
        <w:rPr>
          <w:rFonts w:ascii="Times New Roman" w:hAnsi="Times New Roman" w:cs="Times New Roman"/>
          <w:sz w:val="24"/>
          <w:szCs w:val="24"/>
          <w:u w:val="single"/>
        </w:rPr>
      </w:pPr>
    </w:p>
    <w:p w:rsidR="002B00E7" w:rsidRDefault="002B00E7" w:rsidP="002B00E7">
      <w:pPr>
        <w:pStyle w:val="Bezproreda"/>
        <w:jc w:val="both"/>
        <w:rPr>
          <w:rFonts w:ascii="Times New Roman" w:hAnsi="Times New Roman" w:cs="Times New Roman"/>
          <w:sz w:val="24"/>
          <w:szCs w:val="24"/>
        </w:rPr>
      </w:pPr>
      <w:r>
        <w:rPr>
          <w:rFonts w:ascii="Times New Roman" w:hAnsi="Times New Roman" w:cs="Times New Roman"/>
          <w:sz w:val="24"/>
          <w:szCs w:val="24"/>
        </w:rPr>
        <w:t xml:space="preserve">Dakle, po svim referatima suda, od strane Vrhovnog suda Federacije BiH je ukupno meritorno riješeno (bez odbačaja pravnih lijekova) 398  pravna lijeka. Od ovog broja potvrđeno je 280 odluka  ovog suda (70%), preinačeno  75  odluka (22,59 %) i ukinuta 33 odluka i 10 djelomično ukinutih odluka (7,41%), pa je ukupni </w:t>
      </w:r>
      <w:proofErr w:type="spellStart"/>
      <w:r>
        <w:rPr>
          <w:rFonts w:ascii="Times New Roman" w:hAnsi="Times New Roman" w:cs="Times New Roman"/>
          <w:sz w:val="24"/>
          <w:szCs w:val="24"/>
        </w:rPr>
        <w:t>kvalitet</w:t>
      </w:r>
      <w:proofErr w:type="spellEnd"/>
      <w:r>
        <w:rPr>
          <w:rFonts w:ascii="Times New Roman" w:hAnsi="Times New Roman" w:cs="Times New Roman"/>
          <w:sz w:val="24"/>
          <w:szCs w:val="24"/>
        </w:rPr>
        <w:t xml:space="preserve"> rada suda 92,59% potvrđenih i </w:t>
      </w:r>
      <w:proofErr w:type="spellStart"/>
      <w:r>
        <w:rPr>
          <w:rFonts w:ascii="Times New Roman" w:hAnsi="Times New Roman" w:cs="Times New Roman"/>
          <w:sz w:val="24"/>
          <w:szCs w:val="24"/>
        </w:rPr>
        <w:t>preinačenih</w:t>
      </w:r>
      <w:proofErr w:type="spellEnd"/>
      <w:r>
        <w:rPr>
          <w:rFonts w:ascii="Times New Roman" w:hAnsi="Times New Roman" w:cs="Times New Roman"/>
          <w:sz w:val="24"/>
          <w:szCs w:val="24"/>
        </w:rPr>
        <w:t xml:space="preserve"> odluka sa samo 7,41% ukinutih odluka što je veoma dobar rezultat i pokazatelj kvalitete rada suda.   </w:t>
      </w:r>
    </w:p>
    <w:p w:rsidR="002B00E7" w:rsidRDefault="002B00E7" w:rsidP="002B00E7">
      <w:pPr>
        <w:pStyle w:val="Bezproreda"/>
        <w:jc w:val="both"/>
        <w:rPr>
          <w:rFonts w:ascii="Times New Roman" w:hAnsi="Times New Roman" w:cs="Times New Roman"/>
          <w:sz w:val="24"/>
          <w:szCs w:val="24"/>
        </w:rPr>
      </w:pPr>
    </w:p>
    <w:p w:rsidR="002B00E7" w:rsidRDefault="002B00E7" w:rsidP="002B00E7">
      <w:pPr>
        <w:pStyle w:val="Bezproreda"/>
        <w:jc w:val="both"/>
        <w:rPr>
          <w:rFonts w:ascii="Times New Roman" w:hAnsi="Times New Roman" w:cs="Times New Roman"/>
          <w:sz w:val="24"/>
          <w:szCs w:val="24"/>
        </w:rPr>
      </w:pPr>
    </w:p>
    <w:p w:rsidR="002B00E7" w:rsidRDefault="002B00E7" w:rsidP="002B00E7">
      <w:pPr>
        <w:jc w:val="both"/>
        <w:rPr>
          <w:lang w:val="hr-BA"/>
        </w:rPr>
      </w:pPr>
    </w:p>
    <w:p w:rsidR="00D567F1" w:rsidRDefault="00D567F1" w:rsidP="002B00E7">
      <w:pPr>
        <w:jc w:val="both"/>
        <w:rPr>
          <w:lang w:val="hr-BA"/>
        </w:rPr>
      </w:pPr>
      <w:bookmarkStart w:id="1" w:name="_GoBack"/>
      <w:bookmarkEnd w:id="1"/>
    </w:p>
    <w:p w:rsidR="002B00E7" w:rsidRDefault="002B00E7" w:rsidP="002B00E7">
      <w:pPr>
        <w:jc w:val="both"/>
        <w:rPr>
          <w:lang w:val="hr-BA"/>
        </w:rPr>
      </w:pPr>
      <w:r>
        <w:rPr>
          <w:lang w:val="hr-BA"/>
        </w:rPr>
        <w:t xml:space="preserve">            </w:t>
      </w:r>
    </w:p>
    <w:p w:rsidR="002B00E7" w:rsidRDefault="002B00E7" w:rsidP="002B00E7">
      <w:pPr>
        <w:jc w:val="center"/>
        <w:rPr>
          <w:b/>
          <w:bCs/>
          <w:lang w:val="hr-BA"/>
        </w:rPr>
      </w:pPr>
      <w:r>
        <w:rPr>
          <w:b/>
          <w:bCs/>
          <w:lang w:val="hr-BA"/>
        </w:rPr>
        <w:lastRenderedPageBreak/>
        <w:t>MATERIJALNA SITUACIJA U SUDU</w:t>
      </w:r>
    </w:p>
    <w:p w:rsidR="002B00E7" w:rsidRDefault="002B00E7" w:rsidP="002B00E7">
      <w:pPr>
        <w:jc w:val="both"/>
        <w:rPr>
          <w:b/>
          <w:bCs/>
          <w:lang w:val="hr-BA"/>
        </w:rPr>
      </w:pPr>
    </w:p>
    <w:p w:rsidR="002B00E7" w:rsidRDefault="002B00E7" w:rsidP="002B00E7">
      <w:pPr>
        <w:jc w:val="both"/>
        <w:rPr>
          <w:i/>
          <w:iCs/>
          <w:lang w:val="hr-BA"/>
        </w:rPr>
      </w:pPr>
    </w:p>
    <w:p w:rsidR="002B00E7" w:rsidRDefault="002B00E7" w:rsidP="002B00E7">
      <w:pPr>
        <w:jc w:val="both"/>
        <w:rPr>
          <w:lang w:val="hr-HR" w:eastAsia="hr-HR"/>
        </w:rPr>
      </w:pPr>
      <w:r>
        <w:rPr>
          <w:lang w:val="hr-BA"/>
        </w:rPr>
        <w:t xml:space="preserve">            </w:t>
      </w:r>
      <w:r>
        <w:rPr>
          <w:lang w:val="hr-HR" w:eastAsia="hr-HR"/>
        </w:rPr>
        <w:t>U proteklom izvještajnom periodu Sud je radio u zadovoljavajućim materijalnim uvjetima, a što najbolje ilustrira činjenica</w:t>
      </w:r>
      <w:r>
        <w:rPr>
          <w:b/>
          <w:bCs/>
          <w:lang w:val="hr-HR" w:eastAsia="hr-HR"/>
        </w:rPr>
        <w:t xml:space="preserve"> </w:t>
      </w:r>
      <w:r>
        <w:rPr>
          <w:lang w:val="hr-HR" w:eastAsia="hr-HR"/>
        </w:rPr>
        <w:t>da je ova pravosudna institucija 2021. godinu okončala bez dugovanja.</w:t>
      </w:r>
    </w:p>
    <w:p w:rsidR="002B00E7" w:rsidRDefault="002B00E7" w:rsidP="002B00E7">
      <w:pPr>
        <w:jc w:val="both"/>
        <w:rPr>
          <w:lang w:val="hr-HR" w:eastAsia="hr-HR"/>
        </w:rPr>
      </w:pPr>
    </w:p>
    <w:p w:rsidR="002B00E7" w:rsidRDefault="002B00E7" w:rsidP="002B00E7">
      <w:pPr>
        <w:jc w:val="both"/>
        <w:rPr>
          <w:lang w:val="hr-HR" w:eastAsia="hr-HR"/>
        </w:rPr>
      </w:pPr>
      <w:r>
        <w:rPr>
          <w:lang w:val="hr-HR" w:eastAsia="hr-HR"/>
        </w:rPr>
        <w:t>            Ovi rezultati su svakako postignuti prije svega uspostavljenim efikasnim mjerama štednje koje su uspješno primijenjene u ovom Sudu, te racionalnim poslovanjem i domaćinskim postupanjem sudskog menadžmenta u raspolaganju budžetskim sredstvima namijenjenim za rad ove pravosudne institucije.</w:t>
      </w:r>
    </w:p>
    <w:p w:rsidR="002B00E7" w:rsidRDefault="002B00E7" w:rsidP="002B00E7">
      <w:pPr>
        <w:jc w:val="both"/>
        <w:rPr>
          <w:lang w:val="hr-HR" w:eastAsia="hr-HR"/>
        </w:rPr>
      </w:pPr>
    </w:p>
    <w:p w:rsidR="002B00E7" w:rsidRDefault="002B00E7" w:rsidP="002B00E7">
      <w:pPr>
        <w:jc w:val="both"/>
        <w:rPr>
          <w:lang w:val="hr-HR" w:eastAsia="hr-HR"/>
        </w:rPr>
      </w:pPr>
      <w:r>
        <w:rPr>
          <w:lang w:val="hr-HR" w:eastAsia="hr-HR"/>
        </w:rPr>
        <w:t>            Financijsko poslovanje obavljalo se bez većih poteškoća, kako u oblasti isplate plaća i naknada sudaca i uposlenika Suda, tako i u oblasti isplate materijalnih troškova (komunalnih i poštanskih usluga, izdataka za električnu energiju, nabavke uredskog materijala, goriva, usluga održavanja službenih vozila i kompjuterske opreme, troškova sudskih vještaka i odvjetnika po službenoj dužnosti i dr.).</w:t>
      </w:r>
    </w:p>
    <w:p w:rsidR="002B00E7" w:rsidRDefault="002B00E7" w:rsidP="002B00E7">
      <w:pPr>
        <w:jc w:val="both"/>
        <w:rPr>
          <w:lang w:val="hr-HR" w:eastAsia="hr-HR"/>
        </w:rPr>
      </w:pPr>
    </w:p>
    <w:p w:rsidR="002B00E7" w:rsidRDefault="002B00E7" w:rsidP="002B00E7">
      <w:pPr>
        <w:ind w:firstLine="720"/>
        <w:jc w:val="both"/>
        <w:rPr>
          <w:lang w:val="hr-HR" w:eastAsia="hr-HR"/>
        </w:rPr>
      </w:pPr>
      <w:r>
        <w:rPr>
          <w:lang w:val="hr-HR" w:eastAsia="hr-HR"/>
        </w:rPr>
        <w:t>Vidljivo je da troškovi odvjetnika po službenoj dužnosti u prethodnim godinama imaju stalni trend porasta te su u 2021. godini dostigli do sada najveći iznos od 400.000,00 KM. Jedan od razloga za to je i taj da su okončani neki višegodišnji sudski procesi. Također, izvršeno je i više akcija privođenja i procesuiranja počinitelja kriminalnih radnji u ovoj Županiji.</w:t>
      </w:r>
    </w:p>
    <w:p w:rsidR="002B00E7" w:rsidRDefault="002B00E7" w:rsidP="002B00E7">
      <w:pPr>
        <w:ind w:firstLine="720"/>
        <w:jc w:val="both"/>
        <w:rPr>
          <w:lang w:val="hr-HR" w:eastAsia="hr-HR"/>
        </w:rPr>
      </w:pPr>
    </w:p>
    <w:p w:rsidR="002B00E7" w:rsidRDefault="002B00E7" w:rsidP="002B00E7">
      <w:pPr>
        <w:ind w:firstLine="720"/>
        <w:jc w:val="both"/>
        <w:rPr>
          <w:lang w:val="hr-HR" w:eastAsia="hr-HR"/>
        </w:rPr>
      </w:pPr>
      <w:r>
        <w:rPr>
          <w:lang w:val="hr-HR" w:eastAsia="hr-HR"/>
        </w:rPr>
        <w:t>U prethodnoj godini ovaj Sud je iz proračunskih sredstava Županije nabavio jedno novo službeno vozilo, čime su stvoreni uvjeti za rashod dva stara službena vozila koja su iziskivala znatne troškove održavanja.</w:t>
      </w:r>
    </w:p>
    <w:p w:rsidR="002B00E7" w:rsidRDefault="002B00E7" w:rsidP="002B00E7">
      <w:pPr>
        <w:ind w:firstLine="720"/>
        <w:jc w:val="both"/>
        <w:rPr>
          <w:lang w:val="hr-HR" w:eastAsia="hr-HR"/>
        </w:rPr>
      </w:pPr>
    </w:p>
    <w:p w:rsidR="002B00E7" w:rsidRDefault="002B00E7" w:rsidP="002B00E7">
      <w:pPr>
        <w:jc w:val="both"/>
        <w:rPr>
          <w:lang w:val="hr-HR" w:eastAsia="hr-HR"/>
        </w:rPr>
      </w:pPr>
      <w:r>
        <w:rPr>
          <w:lang w:val="hr-HR" w:eastAsia="hr-HR"/>
        </w:rPr>
        <w:t>            Međutim, što se tiče poslova investicionog održavanja zgrade Suda, stanje je isto kao i prethodne godine s tim da su otpočele početne aktivnosti oko realizacije projekta energetske učinkovitosti koji uključuje zamjenu vrata i prozora u Sudu,  izradu termo fasade zgrade  i termo izolacije krovišta Suda ali i rješenje zagrijavanja većine uredskih prostorija u Sudu. Ovo posljednje iz razloga što su još prije tri godine uočeni problemi sa dotokom tople vode iz susjednog Kazneno – popravnog zavoda iz čije peći se putem cijevi vršilo zagrijavanje određenog broja sudskih prostorija. Nakon pristupa cijevima koje sprovode toplu vodu u sudske prostorije, zatečeno je katastrofalno stanje tih cijevi koje su tu postavljene, vjerojatno, kada su sagrađene i zgrade Suda i Zatvora. Uslijed dugotrajnog djelovanja korozije spomenute cijevi su oštećene i šuplje i dolaznu toplu vodu puštaju u zemlju, zbog čega su sudske prostorije u zimskom periodu postale ne uvjetne za normalan rad.</w:t>
      </w:r>
    </w:p>
    <w:p w:rsidR="002B00E7" w:rsidRDefault="002B00E7" w:rsidP="002B00E7">
      <w:pPr>
        <w:jc w:val="both"/>
        <w:rPr>
          <w:lang w:val="hr-HR" w:eastAsia="hr-HR"/>
        </w:rPr>
      </w:pPr>
    </w:p>
    <w:p w:rsidR="002B00E7" w:rsidRDefault="002B00E7" w:rsidP="002B00E7">
      <w:pPr>
        <w:jc w:val="both"/>
        <w:rPr>
          <w:lang w:val="hr-HR" w:eastAsia="hr-HR"/>
        </w:rPr>
      </w:pPr>
      <w:r>
        <w:rPr>
          <w:lang w:val="hr-HR" w:eastAsia="hr-HR"/>
        </w:rPr>
        <w:t xml:space="preserve">            Realizacijom prethodno navedenih investicionih radova trebale bi biti ostvarene znatne uštede u Proračunu ove Županije u pogledu troškova električne energije i održavanja zgrade Suda, a istovremeno bi se osigurali i bolji uvjeti za rad uposlenika Suda. </w:t>
      </w:r>
    </w:p>
    <w:p w:rsidR="002B00E7" w:rsidRDefault="002B00E7" w:rsidP="002B00E7">
      <w:pPr>
        <w:jc w:val="both"/>
        <w:rPr>
          <w:lang w:val="hr-HR" w:eastAsia="hr-HR"/>
        </w:rPr>
      </w:pPr>
    </w:p>
    <w:p w:rsidR="002B00E7" w:rsidRDefault="002B00E7" w:rsidP="002B00E7">
      <w:pPr>
        <w:jc w:val="both"/>
        <w:rPr>
          <w:lang w:val="hr-HR" w:eastAsia="hr-HR"/>
        </w:rPr>
      </w:pPr>
    </w:p>
    <w:p w:rsidR="002B00E7" w:rsidRPr="002B00E7" w:rsidRDefault="002B00E7" w:rsidP="002B00E7">
      <w:pPr>
        <w:jc w:val="both"/>
        <w:rPr>
          <w:b/>
          <w:bCs/>
          <w:sz w:val="12"/>
          <w:szCs w:val="12"/>
          <w:lang w:val="hr-HR" w:eastAsia="hr-HR"/>
        </w:rPr>
      </w:pPr>
    </w:p>
    <w:p w:rsidR="002B00E7" w:rsidRDefault="002B00E7" w:rsidP="002B00E7">
      <w:pPr>
        <w:jc w:val="center"/>
        <w:rPr>
          <w:b/>
          <w:bCs/>
        </w:rPr>
      </w:pPr>
      <w:r>
        <w:rPr>
          <w:b/>
          <w:bCs/>
        </w:rPr>
        <w:t xml:space="preserve">RAD SUDSKE UPRAVE </w:t>
      </w:r>
    </w:p>
    <w:p w:rsidR="002B00E7" w:rsidRDefault="002B00E7" w:rsidP="002B00E7">
      <w:pPr>
        <w:rPr>
          <w:b/>
          <w:bCs/>
        </w:rPr>
      </w:pPr>
    </w:p>
    <w:p w:rsidR="002B00E7" w:rsidRDefault="002B00E7" w:rsidP="002B00E7">
      <w:pPr>
        <w:jc w:val="both"/>
        <w:rPr>
          <w:lang w:val="hr-BA"/>
        </w:rPr>
      </w:pPr>
      <w:r>
        <w:rPr>
          <w:lang w:val="hr-BA"/>
        </w:rPr>
        <w:t xml:space="preserve">            Prvenstveno je potrebno istaći da je v.d. Predsjednik suda Zoran </w:t>
      </w:r>
      <w:proofErr w:type="spellStart"/>
      <w:r>
        <w:rPr>
          <w:lang w:val="hr-BA"/>
        </w:rPr>
        <w:t>Krtalić</w:t>
      </w:r>
      <w:proofErr w:type="spellEnd"/>
      <w:r>
        <w:rPr>
          <w:lang w:val="hr-BA"/>
        </w:rPr>
        <w:t xml:space="preserve"> ( koji je  v.d. Predsjednik suda bio imenovan odlukom VSTV -a od 1.8.2020 god. ) Odlukom VSTV-a  od 4.3.2021 god. imenovan za Predsjednika suda.</w:t>
      </w:r>
    </w:p>
    <w:p w:rsidR="002B00E7" w:rsidRDefault="002B00E7" w:rsidP="002B00E7">
      <w:pPr>
        <w:jc w:val="both"/>
      </w:pPr>
    </w:p>
    <w:p w:rsidR="002B00E7" w:rsidRDefault="002B00E7" w:rsidP="002B00E7">
      <w:pPr>
        <w:jc w:val="both"/>
        <w:rPr>
          <w:lang w:val="hr-BA"/>
        </w:rPr>
      </w:pPr>
      <w:r>
        <w:rPr>
          <w:lang w:val="hr-BA"/>
        </w:rPr>
        <w:lastRenderedPageBreak/>
        <w:t xml:space="preserve">            Obzirom da je Zoran </w:t>
      </w:r>
      <w:proofErr w:type="spellStart"/>
      <w:r>
        <w:rPr>
          <w:lang w:val="hr-BA"/>
        </w:rPr>
        <w:t>Krtalić</w:t>
      </w:r>
      <w:proofErr w:type="spellEnd"/>
      <w:r>
        <w:rPr>
          <w:lang w:val="hr-BA"/>
        </w:rPr>
        <w:t xml:space="preserve"> bio i Predsjednik građanskog odjela ovog suda , to je raspisan interni poziv za imenovanje Predsjednika građanskog odjela i nakon provedenog postupka za Predsjednika građanskog odjela imenovana je sutkinja Tatjana Mijatović.</w:t>
      </w:r>
    </w:p>
    <w:p w:rsidR="002B00E7" w:rsidRDefault="002B00E7" w:rsidP="002B00E7">
      <w:pPr>
        <w:jc w:val="both"/>
        <w:rPr>
          <w:lang w:val="hr-BA"/>
        </w:rPr>
      </w:pPr>
    </w:p>
    <w:p w:rsidR="002B00E7" w:rsidRDefault="002B00E7" w:rsidP="002B00E7">
      <w:pPr>
        <w:jc w:val="both"/>
        <w:rPr>
          <w:lang w:val="hr-BA"/>
        </w:rPr>
      </w:pPr>
      <w:r>
        <w:rPr>
          <w:lang w:val="hr-BA"/>
        </w:rPr>
        <w:t>            Nadalje, nakon završenog natječaja i provedenog postupka pred Agencijom za državnu službu za tajnika suda izabrana je dosadašnja stručna suradnica Nataša Ivanišević-</w:t>
      </w:r>
      <w:proofErr w:type="spellStart"/>
      <w:r>
        <w:rPr>
          <w:lang w:val="hr-BA"/>
        </w:rPr>
        <w:t>Vejzović</w:t>
      </w:r>
      <w:proofErr w:type="spellEnd"/>
      <w:r>
        <w:rPr>
          <w:lang w:val="hr-BA"/>
        </w:rPr>
        <w:t xml:space="preserve"> .</w:t>
      </w:r>
    </w:p>
    <w:p w:rsidR="002B00E7" w:rsidRDefault="002B00E7" w:rsidP="002B00E7">
      <w:pPr>
        <w:jc w:val="both"/>
        <w:rPr>
          <w:lang w:val="hr-BA"/>
        </w:rPr>
      </w:pPr>
    </w:p>
    <w:p w:rsidR="002B00E7" w:rsidRDefault="002B00E7" w:rsidP="002B00E7">
      <w:pPr>
        <w:jc w:val="both"/>
        <w:rPr>
          <w:lang w:val="hr-BA"/>
        </w:rPr>
      </w:pPr>
      <w:r>
        <w:rPr>
          <w:lang w:val="hr-BA"/>
        </w:rPr>
        <w:t xml:space="preserve">            Također, odlukom Predsjednika suda za osobu zaduženu za kontakte sa javnošću imenovana  je Šefica pisarnice ovog suda Karolina Stanković tako je je sudska uprava u potpunosti kadrovski oformljena. </w:t>
      </w:r>
    </w:p>
    <w:p w:rsidR="002B00E7" w:rsidRDefault="002B00E7" w:rsidP="002B00E7">
      <w:pPr>
        <w:jc w:val="both"/>
        <w:rPr>
          <w:lang w:val="hr-BA"/>
        </w:rPr>
      </w:pPr>
    </w:p>
    <w:p w:rsidR="002B00E7" w:rsidRDefault="002B00E7" w:rsidP="002B00E7">
      <w:pPr>
        <w:jc w:val="both"/>
        <w:rPr>
          <w:lang w:val="hr-BA"/>
        </w:rPr>
      </w:pPr>
      <w:r>
        <w:rPr>
          <w:lang w:val="hr-BA"/>
        </w:rPr>
        <w:t>            U tijeku 2021 god. ovaj sud je učestvovao u većem broju projekata od strane V.S.T.V. i drugih međunarodnih i domaćih organizacija, pa je tako ovaj sud kao sud partner tijekom 2021 god. uzeo aktivno učešće u projektu  Norveške i Nizozemske  vlade  „ Unapređenje pravosuđa u građanskoj oblasti „ pa su u sklopu tog Projekta zaključeni Memorandumi sa Općinskim sudovima u Mostaru i Čapljini, kojima je predviđena suradnja između tih sudova, kontinuirano ( barem jednom u tri mjeseca ) održavanje sastanaka Predsjednika tih sudova kao i predsjednika građanskog i krivičnog odjela tih sudova , rješavanje eventualnih problematičnih situacija, stvaranje jedinstvene sudske prakse što će sve dovesti do veće učinkovitosti rada navedenih sudova. Također donesene su Smjernice za rad ovih sudova kako bi se unaprijedilo i učinilo efikasnim postupanje ovih sudova sve sa ciljem brze i efikasne pomoći građanima kao korisnicima naših usluga sa konačnim ciljem vraćanjem vjere građana u rad pravosudnih institucija i tijela.</w:t>
      </w:r>
    </w:p>
    <w:p w:rsidR="002B00E7" w:rsidRDefault="002B00E7" w:rsidP="002B00E7">
      <w:pPr>
        <w:jc w:val="both"/>
        <w:rPr>
          <w:lang w:val="hr-BA"/>
        </w:rPr>
      </w:pPr>
    </w:p>
    <w:p w:rsidR="002B00E7" w:rsidRDefault="002B00E7" w:rsidP="002B00E7">
      <w:pPr>
        <w:jc w:val="both"/>
        <w:rPr>
          <w:lang w:val="en-US"/>
        </w:rPr>
      </w:pPr>
      <w:r>
        <w:rPr>
          <w:lang w:val="hr-BA"/>
        </w:rPr>
        <w:t xml:space="preserve">            Ovaj sud je u sklopu IPA Projekta 2017 „Izgradnja efikasnog pravosuđa u službi građana“ izradio  Strateški i Godišnji  program rada suda za 2021-2023.godine koji je </w:t>
      </w:r>
      <w:proofErr w:type="spellStart"/>
      <w:r>
        <w:rPr>
          <w:lang w:val="en-US"/>
        </w:rPr>
        <w:t>Stalna</w:t>
      </w:r>
      <w:proofErr w:type="spellEnd"/>
      <w:r>
        <w:rPr>
          <w:lang w:val="en-US"/>
        </w:rPr>
        <w:t xml:space="preserve"> </w:t>
      </w:r>
      <w:proofErr w:type="spellStart"/>
      <w:r>
        <w:rPr>
          <w:lang w:val="en-US"/>
        </w:rPr>
        <w:t>komisija</w:t>
      </w:r>
      <w:proofErr w:type="spellEnd"/>
      <w:r>
        <w:rPr>
          <w:lang w:val="en-US"/>
        </w:rPr>
        <w:t xml:space="preserve"> za </w:t>
      </w:r>
      <w:proofErr w:type="spellStart"/>
      <w:r>
        <w:rPr>
          <w:lang w:val="en-US"/>
        </w:rPr>
        <w:t>efikasnost</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kvaliteta</w:t>
      </w:r>
      <w:proofErr w:type="spellEnd"/>
      <w:r>
        <w:rPr>
          <w:lang w:val="en-US"/>
        </w:rPr>
        <w:t xml:space="preserve"> sudova </w:t>
      </w:r>
      <w:proofErr w:type="spellStart"/>
      <w:r>
        <w:rPr>
          <w:lang w:val="en-US"/>
        </w:rPr>
        <w:t>na</w:t>
      </w:r>
      <w:proofErr w:type="spellEnd"/>
      <w:r>
        <w:rPr>
          <w:lang w:val="en-US"/>
        </w:rPr>
        <w:t xml:space="preserve"> </w:t>
      </w:r>
      <w:proofErr w:type="spellStart"/>
      <w:r>
        <w:rPr>
          <w:lang w:val="en-US"/>
        </w:rPr>
        <w:t>sastanku</w:t>
      </w:r>
      <w:proofErr w:type="spellEnd"/>
      <w:r>
        <w:rPr>
          <w:lang w:val="en-US"/>
        </w:rPr>
        <w:t xml:space="preserve"> </w:t>
      </w:r>
      <w:proofErr w:type="spellStart"/>
      <w:r>
        <w:rPr>
          <w:lang w:val="en-US"/>
        </w:rPr>
        <w:t>održanom</w:t>
      </w:r>
      <w:proofErr w:type="spellEnd"/>
      <w:r>
        <w:rPr>
          <w:lang w:val="en-US"/>
        </w:rPr>
        <w:t xml:space="preserve"> 18.maja 2021. </w:t>
      </w:r>
      <w:proofErr w:type="spellStart"/>
      <w:proofErr w:type="gramStart"/>
      <w:r>
        <w:rPr>
          <w:lang w:val="en-US"/>
        </w:rPr>
        <w:t>godine</w:t>
      </w:r>
      <w:proofErr w:type="spellEnd"/>
      <w:proofErr w:type="gramEnd"/>
      <w:r>
        <w:rPr>
          <w:lang w:val="en-US"/>
        </w:rPr>
        <w:t xml:space="preserve"> </w:t>
      </w:r>
      <w:proofErr w:type="spellStart"/>
      <w:r>
        <w:rPr>
          <w:lang w:val="en-US"/>
        </w:rPr>
        <w:t>usvojila</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dala</w:t>
      </w:r>
      <w:proofErr w:type="spellEnd"/>
      <w:r>
        <w:rPr>
          <w:lang w:val="en-US"/>
        </w:rPr>
        <w:t xml:space="preserve"> </w:t>
      </w:r>
      <w:proofErr w:type="spellStart"/>
      <w:r>
        <w:rPr>
          <w:lang w:val="en-US"/>
        </w:rPr>
        <w:t>saglasnost</w:t>
      </w:r>
      <w:proofErr w:type="spellEnd"/>
      <w:r>
        <w:rPr>
          <w:lang w:val="en-US"/>
        </w:rPr>
        <w:t xml:space="preserve"> za </w:t>
      </w:r>
      <w:proofErr w:type="spellStart"/>
      <w:r>
        <w:rPr>
          <w:lang w:val="en-US"/>
        </w:rPr>
        <w:t>njegovu</w:t>
      </w:r>
      <w:proofErr w:type="spellEnd"/>
      <w:r>
        <w:rPr>
          <w:lang w:val="en-US"/>
        </w:rPr>
        <w:t xml:space="preserve"> </w:t>
      </w:r>
      <w:proofErr w:type="spellStart"/>
      <w:r>
        <w:rPr>
          <w:lang w:val="en-US"/>
        </w:rPr>
        <w:t>objavu</w:t>
      </w:r>
      <w:proofErr w:type="spellEnd"/>
      <w:r>
        <w:rPr>
          <w:lang w:val="en-US"/>
        </w:rPr>
        <w:t xml:space="preserve"> </w:t>
      </w:r>
      <w:proofErr w:type="spellStart"/>
      <w:r>
        <w:rPr>
          <w:lang w:val="en-US"/>
        </w:rPr>
        <w:t>na</w:t>
      </w:r>
      <w:proofErr w:type="spellEnd"/>
      <w:r>
        <w:rPr>
          <w:lang w:val="en-US"/>
        </w:rPr>
        <w:t xml:space="preserve"> web </w:t>
      </w:r>
      <w:proofErr w:type="spellStart"/>
      <w:r>
        <w:rPr>
          <w:lang w:val="en-US"/>
        </w:rPr>
        <w:t>stranici</w:t>
      </w:r>
      <w:proofErr w:type="spellEnd"/>
      <w:r>
        <w:rPr>
          <w:lang w:val="en-US"/>
        </w:rPr>
        <w:t xml:space="preserve"> .</w:t>
      </w:r>
    </w:p>
    <w:p w:rsidR="002B00E7" w:rsidRDefault="002B00E7" w:rsidP="002B00E7">
      <w:pPr>
        <w:jc w:val="both"/>
        <w:rPr>
          <w:lang w:val="hr-BA"/>
        </w:rPr>
      </w:pPr>
    </w:p>
    <w:p w:rsidR="002B00E7" w:rsidRDefault="002B00E7" w:rsidP="002B00E7">
      <w:pPr>
        <w:jc w:val="both"/>
        <w:rPr>
          <w:lang w:val="hr-BA"/>
        </w:rPr>
      </w:pPr>
      <w:r>
        <w:rPr>
          <w:lang w:val="hr-BA"/>
        </w:rPr>
        <w:t>            Predsjednik suda i predsjednici odjela ovog suda su u okviru ispunjavanja obaveza iz zaključenih Memoranduma održavali tromjesečne sastanke sa predsjednicima ovih sudova i predsjednicima odjela tih sudova, a Predsjednik suda je izvršio obilazak i kontrolu rada Općinskih sudova Mostar, Konjic, Čapljina i Čitluk dva puta i to u periodu 2-8.6.2021 god. i u periodu 3-10.12.2021 god.</w:t>
      </w:r>
    </w:p>
    <w:p w:rsidR="002B00E7" w:rsidRDefault="002B00E7" w:rsidP="002B00E7">
      <w:pPr>
        <w:jc w:val="both"/>
        <w:rPr>
          <w:lang w:val="hr-BA"/>
        </w:rPr>
      </w:pPr>
    </w:p>
    <w:p w:rsidR="002B00E7" w:rsidRDefault="002B00E7" w:rsidP="002B00E7">
      <w:pPr>
        <w:jc w:val="both"/>
        <w:rPr>
          <w:lang w:val="hr-BA"/>
        </w:rPr>
      </w:pPr>
      <w:r>
        <w:rPr>
          <w:lang w:val="hr-BA"/>
        </w:rPr>
        <w:t>            U lipnju/junu 2021 god. ovaj sud je bio počašćen posjetom Predsjednika i sudaca Ustavnog suda BIH koji su u prostorijama ovog suda održali svoju redovnu sjednicu Ustavnog suda te obavili korisne razgovore i sastanke sa Predsjednikom i sucima ovog suda kao i predstavnicima izvršne vlasti naše županije.</w:t>
      </w:r>
    </w:p>
    <w:p w:rsidR="002B00E7" w:rsidRDefault="002B00E7" w:rsidP="002B00E7">
      <w:pPr>
        <w:jc w:val="both"/>
        <w:rPr>
          <w:lang w:val="hr-BA"/>
        </w:rPr>
      </w:pPr>
    </w:p>
    <w:p w:rsidR="002B00E7" w:rsidRDefault="002B00E7" w:rsidP="002B00E7">
      <w:pPr>
        <w:jc w:val="both"/>
        <w:rPr>
          <w:lang w:val="hr-BA"/>
        </w:rPr>
      </w:pPr>
      <w:r>
        <w:rPr>
          <w:lang w:val="hr-BA"/>
        </w:rPr>
        <w:t xml:space="preserve">            Koncem 2021 god. ovaj sud je uzeo aktivno učešće i u Projektu „ Oduzimanje </w:t>
      </w:r>
      <w:proofErr w:type="spellStart"/>
      <w:r>
        <w:rPr>
          <w:lang w:val="hr-BA"/>
        </w:rPr>
        <w:t>imovnsko</w:t>
      </w:r>
      <w:proofErr w:type="spellEnd"/>
      <w:r>
        <w:rPr>
          <w:lang w:val="hr-BA"/>
        </w:rPr>
        <w:t xml:space="preserve">-pravne koristi stečene krivičnim djelom „ koji projekat je organiziran od strane Vlade Ujedinjenog Kraljevstva, uz sudjelovanje V.S.T.V. Ustavnog suda BIH, Suda Bosne i Hercegovine, Vrhovnih sudova Federacije BIH i Republike Srpske , kao i kantonalnih sudova BIH. </w:t>
      </w:r>
    </w:p>
    <w:p w:rsidR="002B00E7" w:rsidRDefault="002B00E7" w:rsidP="002B00E7">
      <w:pPr>
        <w:jc w:val="both"/>
        <w:rPr>
          <w:lang w:val="hr-BA"/>
        </w:rPr>
      </w:pPr>
    </w:p>
    <w:p w:rsidR="002B00E7" w:rsidRDefault="002B00E7" w:rsidP="002B00E7">
      <w:pPr>
        <w:jc w:val="both"/>
        <w:rPr>
          <w:lang w:val="hr-BA"/>
        </w:rPr>
      </w:pPr>
      <w:r>
        <w:rPr>
          <w:b/>
          <w:bCs/>
          <w:lang w:val="hr-BA"/>
        </w:rPr>
        <w:t xml:space="preserve">            </w:t>
      </w:r>
      <w:r>
        <w:rPr>
          <w:lang w:val="hr-BA"/>
        </w:rPr>
        <w:t xml:space="preserve">Poslovi sudske uprave u tijeku 2021 god. obavljali su se u okviru tri unutrašnje organizacione jedinice i to: Pisarnica suda, Odsjeka sudačkih asistenata i Odsjeku </w:t>
      </w:r>
      <w:proofErr w:type="spellStart"/>
      <w:r>
        <w:rPr>
          <w:lang w:val="hr-BA"/>
        </w:rPr>
        <w:t>računovostvenih</w:t>
      </w:r>
      <w:proofErr w:type="spellEnd"/>
      <w:r>
        <w:rPr>
          <w:lang w:val="hr-BA"/>
        </w:rPr>
        <w:t xml:space="preserve"> i pomoćno – tehničkih poslova. Obzirom da je i u 2021 god. vladala </w:t>
      </w:r>
      <w:proofErr w:type="spellStart"/>
      <w:r>
        <w:rPr>
          <w:lang w:val="hr-BA"/>
        </w:rPr>
        <w:t>Pandemija</w:t>
      </w:r>
      <w:proofErr w:type="spellEnd"/>
      <w:r>
        <w:rPr>
          <w:lang w:val="hr-BA"/>
        </w:rPr>
        <w:t xml:space="preserve"> </w:t>
      </w:r>
      <w:proofErr w:type="spellStart"/>
      <w:r>
        <w:rPr>
          <w:lang w:val="hr-BA"/>
        </w:rPr>
        <w:t>corona</w:t>
      </w:r>
      <w:proofErr w:type="spellEnd"/>
      <w:r>
        <w:rPr>
          <w:lang w:val="hr-BA"/>
        </w:rPr>
        <w:t xml:space="preserve"> virusa  sudska uprava na čelu sa predsjednikom suda i tajnikom </w:t>
      </w:r>
      <w:r>
        <w:rPr>
          <w:lang w:val="hr-BA"/>
        </w:rPr>
        <w:lastRenderedPageBreak/>
        <w:t xml:space="preserve">suda  donosila je niz odluka vezanih  za funkcioniranje  suda za vrijeme </w:t>
      </w:r>
      <w:proofErr w:type="spellStart"/>
      <w:r>
        <w:rPr>
          <w:lang w:val="hr-BA"/>
        </w:rPr>
        <w:t>pandemije</w:t>
      </w:r>
      <w:proofErr w:type="spellEnd"/>
      <w:r>
        <w:rPr>
          <w:lang w:val="hr-BA"/>
        </w:rPr>
        <w:t xml:space="preserve">, tako da su poduzete sve mjere za zdravlje i živote uposlenika i stranaka. </w:t>
      </w:r>
    </w:p>
    <w:p w:rsidR="002B00E7" w:rsidRDefault="002B00E7" w:rsidP="002B00E7">
      <w:pPr>
        <w:jc w:val="both"/>
        <w:rPr>
          <w:lang w:val="hr-BA"/>
        </w:rPr>
      </w:pPr>
    </w:p>
    <w:p w:rsidR="002B00E7" w:rsidRDefault="002B00E7" w:rsidP="002B00E7">
      <w:pPr>
        <w:jc w:val="both"/>
        <w:rPr>
          <w:lang w:val="hr-BA"/>
        </w:rPr>
      </w:pPr>
      <w:r>
        <w:rPr>
          <w:lang w:val="hr-BA"/>
        </w:rPr>
        <w:t xml:space="preserve">            Poslovi sudske uprave osigurani su svi uvjeti za pravilan i efikasan rad Suda, a naročito oni koji su se odnosili na: organizaciju unutarnjeg poslovanja u Sudu, brigu o urednom i blagovremenom obavljanju svih poslova u Sudu, osiguravanje uvjeta za rad sudaca i ostalih zaposlenika Suda, obavljanje poslova u vezi sa ostvarivanjem prava iz radnog odnosa svih zaposlenih, poslova vezane za stručno usavršavanje sudaca i ostalih uposlenika Suda, obavljanje poslova vezane za rukovanje sa oduzetim stvarima u kaznenim predmetima, vođenju sudske statistike i izrade svih izvještaja o radu Suda, vođenju evidencija vezanih za rad sudaca porotnika, ovjeru isprava iz nadležnosti Suda, postupanje po urgencijama stranaka u pojedinim spisima i druge poslove određene zakonom i </w:t>
      </w:r>
      <w:proofErr w:type="spellStart"/>
      <w:r>
        <w:rPr>
          <w:lang w:val="hr-BA"/>
        </w:rPr>
        <w:t>podzakonskim</w:t>
      </w:r>
      <w:proofErr w:type="spellEnd"/>
      <w:r>
        <w:rPr>
          <w:lang w:val="hr-BA"/>
        </w:rPr>
        <w:t xml:space="preserve"> aktima.</w:t>
      </w:r>
    </w:p>
    <w:p w:rsidR="002B00E7" w:rsidRDefault="002B00E7" w:rsidP="002B00E7">
      <w:pPr>
        <w:jc w:val="both"/>
        <w:rPr>
          <w:lang w:val="hr-BA"/>
        </w:rPr>
      </w:pPr>
    </w:p>
    <w:p w:rsidR="002B00E7" w:rsidRDefault="002B00E7" w:rsidP="002B00E7">
      <w:pPr>
        <w:jc w:val="both"/>
        <w:rPr>
          <w:lang w:val="hr-BA"/>
        </w:rPr>
      </w:pPr>
      <w:r>
        <w:rPr>
          <w:lang w:val="hr-BA"/>
        </w:rPr>
        <w:t xml:space="preserve">            U izvještajnom periodu dosljedno su primjenjivane odredbe: Pravilnika o unutarnjem sudskom poslovanju donesenim u VSTV BIH, Pravilnika o sistemu za automatsko upravljanje predmetima u sudovima (CMS), Pravilnika o orijentacionim mjerilima za rad sudaca i stručnih suradnika, </w:t>
      </w:r>
      <w:proofErr w:type="spellStart"/>
      <w:r>
        <w:rPr>
          <w:lang w:val="hr-BA"/>
        </w:rPr>
        <w:t>Uputstva</w:t>
      </w:r>
      <w:proofErr w:type="spellEnd"/>
      <w:r>
        <w:rPr>
          <w:lang w:val="hr-BA"/>
        </w:rPr>
        <w:t xml:space="preserve"> VSTV BiH za rad po starim neriješenim predmetima i Pravila u vezi snimanja zaštićenih svjedoka putem video linka. </w:t>
      </w:r>
    </w:p>
    <w:p w:rsidR="002B00E7" w:rsidRDefault="002B00E7" w:rsidP="002B00E7">
      <w:pPr>
        <w:jc w:val="both"/>
        <w:rPr>
          <w:lang w:val="hr-BA"/>
        </w:rPr>
      </w:pPr>
    </w:p>
    <w:p w:rsidR="002B00E7" w:rsidRDefault="002B00E7" w:rsidP="002B00E7">
      <w:pPr>
        <w:jc w:val="both"/>
        <w:rPr>
          <w:lang w:val="hr-BA"/>
        </w:rPr>
      </w:pPr>
      <w:r>
        <w:rPr>
          <w:lang w:val="hr-BA"/>
        </w:rPr>
        <w:t xml:space="preserve">            U 2021. godini u okviru sudske uprave </w:t>
      </w:r>
      <w:r>
        <w:rPr>
          <w:i/>
          <w:iCs/>
          <w:lang w:val="hr-BA"/>
        </w:rPr>
        <w:t>zaprimljeno je ukupno 722 predmeta i to:</w:t>
      </w:r>
      <w:r>
        <w:rPr>
          <w:lang w:val="hr-BA"/>
        </w:rPr>
        <w:t xml:space="preserve"> </w:t>
      </w:r>
    </w:p>
    <w:p w:rsidR="002B00E7" w:rsidRDefault="002B00E7" w:rsidP="002B00E7">
      <w:pPr>
        <w:jc w:val="both"/>
        <w:rPr>
          <w:lang w:val="hr-BA"/>
        </w:rPr>
      </w:pPr>
    </w:p>
    <w:p w:rsidR="002B00E7" w:rsidRDefault="002B00E7" w:rsidP="002B00E7">
      <w:pPr>
        <w:jc w:val="both"/>
        <w:rPr>
          <w:i/>
          <w:iCs/>
          <w:lang w:val="hr-BA"/>
        </w:rPr>
      </w:pPr>
      <w:r>
        <w:rPr>
          <w:lang w:val="hr-BA"/>
        </w:rPr>
        <w:t xml:space="preserve">A)  111 predmeta sudske uprave </w:t>
      </w:r>
      <w:r>
        <w:rPr>
          <w:i/>
          <w:iCs/>
          <w:lang w:val="hr-BA"/>
        </w:rPr>
        <w:t>(signature od Su-Su)</w:t>
      </w:r>
    </w:p>
    <w:p w:rsidR="002B00E7" w:rsidRDefault="002B00E7" w:rsidP="002B00E7">
      <w:pPr>
        <w:jc w:val="both"/>
        <w:rPr>
          <w:lang w:val="hr-BA"/>
        </w:rPr>
      </w:pPr>
      <w:r>
        <w:rPr>
          <w:lang w:val="hr-BA"/>
        </w:rPr>
        <w:t>B)  31 zahtjeva za pristup informacijama ( Spi ) i svi su riješeni.</w:t>
      </w:r>
    </w:p>
    <w:p w:rsidR="002B00E7" w:rsidRDefault="002B00E7" w:rsidP="002B00E7">
      <w:pPr>
        <w:jc w:val="both"/>
        <w:rPr>
          <w:i/>
          <w:iCs/>
          <w:lang w:val="hr-BA"/>
        </w:rPr>
      </w:pPr>
      <w:r>
        <w:rPr>
          <w:lang w:val="hr-BA"/>
        </w:rPr>
        <w:t xml:space="preserve">C)  325 predmeta sudske uprave preko skraćenog djelovodnika – dostava podataka </w:t>
      </w:r>
      <w:r>
        <w:rPr>
          <w:i/>
          <w:iCs/>
          <w:lang w:val="hr-BA"/>
        </w:rPr>
        <w:t>(</w:t>
      </w:r>
      <w:proofErr w:type="spellStart"/>
      <w:r>
        <w:rPr>
          <w:i/>
          <w:iCs/>
          <w:lang w:val="hr-BA"/>
        </w:rPr>
        <w:t>sig</w:t>
      </w:r>
      <w:proofErr w:type="spellEnd"/>
      <w:r>
        <w:rPr>
          <w:i/>
          <w:iCs/>
          <w:lang w:val="hr-BA"/>
        </w:rPr>
        <w:t>.    Su-</w:t>
      </w:r>
      <w:proofErr w:type="spellStart"/>
      <w:r>
        <w:rPr>
          <w:i/>
          <w:iCs/>
          <w:lang w:val="hr-BA"/>
        </w:rPr>
        <w:t>Dp</w:t>
      </w:r>
      <w:proofErr w:type="spellEnd"/>
      <w:r>
        <w:rPr>
          <w:i/>
          <w:iCs/>
          <w:lang w:val="hr-BA"/>
        </w:rPr>
        <w:t xml:space="preserve">) i svi su riješeni </w:t>
      </w:r>
    </w:p>
    <w:p w:rsidR="002B00E7" w:rsidRDefault="002B00E7" w:rsidP="002B00E7">
      <w:pPr>
        <w:jc w:val="both"/>
        <w:rPr>
          <w:i/>
          <w:iCs/>
          <w:lang w:val="hr-BA"/>
        </w:rPr>
      </w:pPr>
      <w:r>
        <w:rPr>
          <w:lang w:val="hr-BA"/>
        </w:rPr>
        <w:t xml:space="preserve">D)  </w:t>
      </w:r>
      <w:r>
        <w:rPr>
          <w:i/>
          <w:iCs/>
          <w:lang w:val="hr-BA"/>
        </w:rPr>
        <w:t xml:space="preserve">Su </w:t>
      </w:r>
      <w:proofErr w:type="spellStart"/>
      <w:r>
        <w:rPr>
          <w:i/>
          <w:iCs/>
          <w:lang w:val="hr-BA"/>
        </w:rPr>
        <w:t>Ap</w:t>
      </w:r>
      <w:proofErr w:type="spellEnd"/>
      <w:r>
        <w:rPr>
          <w:i/>
          <w:iCs/>
          <w:lang w:val="hr-BA"/>
        </w:rPr>
        <w:t xml:space="preserve"> 255 odluke i zahtjevi za odgovor na apelaciju sa Ustavnog suda BIH. </w:t>
      </w:r>
    </w:p>
    <w:p w:rsidR="002B00E7" w:rsidRDefault="002B00E7" w:rsidP="002B00E7">
      <w:pPr>
        <w:jc w:val="both"/>
        <w:rPr>
          <w:i/>
          <w:iCs/>
          <w:lang w:val="hr-BA"/>
        </w:rPr>
      </w:pPr>
    </w:p>
    <w:p w:rsidR="002B00E7" w:rsidRDefault="002B00E7" w:rsidP="002B00E7">
      <w:pPr>
        <w:jc w:val="both"/>
        <w:rPr>
          <w:i/>
          <w:iCs/>
          <w:lang w:val="hr-BA"/>
        </w:rPr>
      </w:pPr>
      <w:r>
        <w:rPr>
          <w:i/>
          <w:iCs/>
          <w:lang w:val="hr-BA"/>
        </w:rPr>
        <w:t xml:space="preserve">            Nakon imenovanja tajnika suda poduzeti su i završeni slijedeće zakonske obveze i aktivnosti :  </w:t>
      </w:r>
    </w:p>
    <w:p w:rsidR="002B00E7" w:rsidRDefault="002B00E7" w:rsidP="002B00E7">
      <w:pPr>
        <w:jc w:val="both"/>
        <w:rPr>
          <w:lang w:val="hr-BA"/>
        </w:rPr>
      </w:pPr>
      <w:r>
        <w:rPr>
          <w:lang w:val="hr-BA"/>
        </w:rPr>
        <w:t xml:space="preserve">            </w:t>
      </w:r>
    </w:p>
    <w:p w:rsidR="002B00E7" w:rsidRDefault="002B00E7" w:rsidP="002B00E7">
      <w:pPr>
        <w:numPr>
          <w:ilvl w:val="0"/>
          <w:numId w:val="1"/>
        </w:numPr>
        <w:spacing w:after="160" w:line="252" w:lineRule="auto"/>
        <w:contextualSpacing/>
        <w:jc w:val="both"/>
        <w:rPr>
          <w:rFonts w:eastAsia="Times New Roman"/>
        </w:rPr>
      </w:pPr>
      <w:r>
        <w:rPr>
          <w:rFonts w:eastAsia="Times New Roman"/>
        </w:rPr>
        <w:t>Ocjenjeni su svi državni službenici i namještenici, te sukladno tome podnesen izvještaj Agenciji za državnu službu Federacije BiH.</w:t>
      </w:r>
    </w:p>
    <w:p w:rsidR="002B00E7" w:rsidRDefault="002B00E7" w:rsidP="002B00E7">
      <w:pPr>
        <w:numPr>
          <w:ilvl w:val="0"/>
          <w:numId w:val="1"/>
        </w:numPr>
        <w:spacing w:after="160" w:line="252" w:lineRule="auto"/>
        <w:contextualSpacing/>
        <w:jc w:val="both"/>
        <w:rPr>
          <w:rFonts w:eastAsia="Times New Roman"/>
        </w:rPr>
      </w:pPr>
      <w:r>
        <w:rPr>
          <w:rFonts w:eastAsia="Times New Roman"/>
        </w:rPr>
        <w:t xml:space="preserve">Preduzete su opsežne radnje u svrhu primjene obligatornih normi Zakona o zaštiti tajnih podataka u smislu da su donesena odluka o listi radnih mjesta za pristup tajnim podacima za koje je potrebno izdavanje sigurnosne dozvole, te pojedinačne odluke o imenovanjima za pojedine poslove i zadatke vezano za rad s tajnim podacima, popunjeni su sigurnosni upitnici od strane lica koja su tim odlukama imenovana za vršenje pojedinih poslova i zadataka, te su u postupku provjere pred OSA-om. Podnesen je zahtjev Ministarstvu sigurnosti Bosne i Hercegovine da se odredi sigurnosno područje u sudu, te je u skladu s tim Ministarstvu pravosuđa, uprave i lokalne samouprave HNK/Ž dostavljena informacija o okvirnom iznosu koji će eventualno biti potreban za opremu i adaptaciju tog područja. Donesen je nacrt Pravilnika o zaštiti tajnih podataka, te je isti dostavljen Ministarstvu sigurnosti BiH na mišljenje. </w:t>
      </w:r>
    </w:p>
    <w:p w:rsidR="002B00E7" w:rsidRDefault="002B00E7" w:rsidP="002B00E7">
      <w:pPr>
        <w:numPr>
          <w:ilvl w:val="0"/>
          <w:numId w:val="1"/>
        </w:numPr>
        <w:spacing w:after="160" w:line="252" w:lineRule="auto"/>
        <w:contextualSpacing/>
        <w:jc w:val="both"/>
        <w:rPr>
          <w:rFonts w:eastAsia="Times New Roman"/>
        </w:rPr>
      </w:pPr>
      <w:r>
        <w:rPr>
          <w:rFonts w:eastAsia="Times New Roman"/>
        </w:rPr>
        <w:t xml:space="preserve">Usvojen je Etički kodeks , te je od djelatnika zatraženo da popune i potpišu izjave u svrhu vođenja instrumenata za </w:t>
      </w:r>
      <w:proofErr w:type="spellStart"/>
      <w:r>
        <w:rPr>
          <w:rFonts w:eastAsia="Times New Roman"/>
        </w:rPr>
        <w:t>praćenje</w:t>
      </w:r>
      <w:proofErr w:type="spellEnd"/>
      <w:r>
        <w:rPr>
          <w:rFonts w:eastAsia="Times New Roman"/>
        </w:rPr>
        <w:t xml:space="preserve"> primjene tog Kodeksa. Od Agencije za državnu službu </w:t>
      </w:r>
      <w:proofErr w:type="spellStart"/>
      <w:r>
        <w:rPr>
          <w:rFonts w:eastAsia="Times New Roman"/>
        </w:rPr>
        <w:t>FBiH</w:t>
      </w:r>
      <w:proofErr w:type="spellEnd"/>
      <w:r>
        <w:rPr>
          <w:rFonts w:eastAsia="Times New Roman"/>
        </w:rPr>
        <w:t xml:space="preserve"> je zatraženo organiziranje in </w:t>
      </w:r>
      <w:proofErr w:type="spellStart"/>
      <w:r>
        <w:rPr>
          <w:rFonts w:eastAsia="Times New Roman"/>
        </w:rPr>
        <w:t>house</w:t>
      </w:r>
      <w:proofErr w:type="spellEnd"/>
      <w:r>
        <w:rPr>
          <w:rFonts w:eastAsia="Times New Roman"/>
        </w:rPr>
        <w:t xml:space="preserve"> obuke na temu Etičkog kodeksa, te je obuka na tu temu uvrštena u Program stručnog usavršavanja za 2022.g.. </w:t>
      </w:r>
    </w:p>
    <w:p w:rsidR="002B00E7" w:rsidRDefault="002B00E7" w:rsidP="002B00E7">
      <w:pPr>
        <w:numPr>
          <w:ilvl w:val="0"/>
          <w:numId w:val="1"/>
        </w:numPr>
        <w:spacing w:after="160" w:line="252" w:lineRule="auto"/>
        <w:contextualSpacing/>
        <w:jc w:val="both"/>
        <w:rPr>
          <w:rFonts w:eastAsia="Times New Roman"/>
        </w:rPr>
      </w:pPr>
      <w:r>
        <w:rPr>
          <w:rFonts w:eastAsia="Times New Roman"/>
        </w:rPr>
        <w:lastRenderedPageBreak/>
        <w:t xml:space="preserve">Usvojen je Model strategije za krizno komuniciranje, te je i u tu svrhu zatraženo od Agencije za državnu službu organiziranje in </w:t>
      </w:r>
      <w:proofErr w:type="spellStart"/>
      <w:r>
        <w:rPr>
          <w:rFonts w:eastAsia="Times New Roman"/>
        </w:rPr>
        <w:t>house</w:t>
      </w:r>
      <w:proofErr w:type="spellEnd"/>
      <w:r>
        <w:rPr>
          <w:rFonts w:eastAsia="Times New Roman"/>
        </w:rPr>
        <w:t xml:space="preserve"> obuke u svrhu primjene tog Modela s komunikološkog i psihološkog stajališta, te je obuka na tu temu </w:t>
      </w:r>
      <w:proofErr w:type="spellStart"/>
      <w:r>
        <w:rPr>
          <w:rFonts w:eastAsia="Times New Roman"/>
        </w:rPr>
        <w:t>ovrštena</w:t>
      </w:r>
      <w:proofErr w:type="spellEnd"/>
      <w:r>
        <w:rPr>
          <w:rFonts w:eastAsia="Times New Roman"/>
        </w:rPr>
        <w:t xml:space="preserve"> u Program stručnog usavršavanja za 2022.g.. </w:t>
      </w:r>
    </w:p>
    <w:p w:rsidR="002B00E7" w:rsidRDefault="002B00E7" w:rsidP="002B00E7">
      <w:pPr>
        <w:numPr>
          <w:ilvl w:val="0"/>
          <w:numId w:val="1"/>
        </w:numPr>
        <w:spacing w:after="160" w:line="252" w:lineRule="auto"/>
        <w:contextualSpacing/>
        <w:jc w:val="both"/>
        <w:rPr>
          <w:rFonts w:eastAsia="Times New Roman"/>
        </w:rPr>
      </w:pPr>
      <w:r>
        <w:rPr>
          <w:rFonts w:eastAsia="Times New Roman"/>
        </w:rPr>
        <w:t xml:space="preserve">Podnesen zahtjev Agenciji za državnu službu </w:t>
      </w:r>
      <w:proofErr w:type="spellStart"/>
      <w:r>
        <w:rPr>
          <w:rFonts w:eastAsia="Times New Roman"/>
        </w:rPr>
        <w:t>FBiH</w:t>
      </w:r>
      <w:proofErr w:type="spellEnd"/>
      <w:r>
        <w:rPr>
          <w:rFonts w:eastAsia="Times New Roman"/>
        </w:rPr>
        <w:t xml:space="preserve"> za </w:t>
      </w:r>
      <w:proofErr w:type="spellStart"/>
      <w:r>
        <w:rPr>
          <w:rFonts w:eastAsia="Times New Roman"/>
        </w:rPr>
        <w:t>održavanje</w:t>
      </w:r>
      <w:proofErr w:type="spellEnd"/>
      <w:r>
        <w:rPr>
          <w:rFonts w:eastAsia="Times New Roman"/>
        </w:rPr>
        <w:t xml:space="preserve"> in </w:t>
      </w:r>
      <w:proofErr w:type="spellStart"/>
      <w:r>
        <w:rPr>
          <w:rFonts w:eastAsia="Times New Roman"/>
        </w:rPr>
        <w:t>house</w:t>
      </w:r>
      <w:proofErr w:type="spellEnd"/>
      <w:r>
        <w:rPr>
          <w:rFonts w:eastAsia="Times New Roman"/>
        </w:rPr>
        <w:t xml:space="preserve"> obuke za dostavljače/kurire na temu dostavljanja, i to po ZKP, ZPP i ZUP-u.</w:t>
      </w:r>
    </w:p>
    <w:p w:rsidR="002B00E7" w:rsidRDefault="002B00E7" w:rsidP="002B00E7">
      <w:pPr>
        <w:numPr>
          <w:ilvl w:val="0"/>
          <w:numId w:val="1"/>
        </w:numPr>
        <w:spacing w:after="160" w:line="252" w:lineRule="auto"/>
        <w:contextualSpacing/>
        <w:jc w:val="both"/>
        <w:rPr>
          <w:rFonts w:eastAsia="Times New Roman"/>
        </w:rPr>
      </w:pPr>
      <w:r>
        <w:rPr>
          <w:rFonts w:eastAsia="Times New Roman"/>
        </w:rPr>
        <w:t>Usvojen je Pravilnik o prijemu pripravnika i pripravnika-volontera</w:t>
      </w:r>
    </w:p>
    <w:p w:rsidR="002B00E7" w:rsidRDefault="002B00E7" w:rsidP="002B00E7">
      <w:pPr>
        <w:numPr>
          <w:ilvl w:val="0"/>
          <w:numId w:val="1"/>
        </w:numPr>
        <w:spacing w:after="160" w:line="252" w:lineRule="auto"/>
        <w:contextualSpacing/>
        <w:jc w:val="both"/>
        <w:rPr>
          <w:rFonts w:eastAsia="Times New Roman"/>
        </w:rPr>
      </w:pPr>
      <w:proofErr w:type="spellStart"/>
      <w:r>
        <w:rPr>
          <w:rFonts w:eastAsia="Times New Roman"/>
        </w:rPr>
        <w:t>Postupljeno</w:t>
      </w:r>
      <w:proofErr w:type="spellEnd"/>
      <w:r>
        <w:rPr>
          <w:rFonts w:eastAsia="Times New Roman"/>
        </w:rPr>
        <w:t xml:space="preserve"> je po ranijim zahtjevima ADS </w:t>
      </w:r>
      <w:proofErr w:type="spellStart"/>
      <w:r>
        <w:rPr>
          <w:rFonts w:eastAsia="Times New Roman"/>
        </w:rPr>
        <w:t>FBiH</w:t>
      </w:r>
      <w:proofErr w:type="spellEnd"/>
      <w:r>
        <w:rPr>
          <w:rFonts w:eastAsia="Times New Roman"/>
        </w:rPr>
        <w:t xml:space="preserve"> da se dostavi Pravilnik o unutrašnjoj organizaciji suda, postupajući po zahtjevu ADS </w:t>
      </w:r>
      <w:proofErr w:type="spellStart"/>
      <w:r>
        <w:rPr>
          <w:rFonts w:eastAsia="Times New Roman"/>
        </w:rPr>
        <w:t>FBiH</w:t>
      </w:r>
      <w:proofErr w:type="spellEnd"/>
      <w:r>
        <w:rPr>
          <w:rFonts w:eastAsia="Times New Roman"/>
        </w:rPr>
        <w:t xml:space="preserve">, 2 su službenika ovlaštena za pristup podacima u Registru zaposlenih u organima državne službe u F BiH, te su isti prošli i obuku organizovanu od strane ADS </w:t>
      </w:r>
      <w:proofErr w:type="spellStart"/>
      <w:r>
        <w:rPr>
          <w:rFonts w:eastAsia="Times New Roman"/>
        </w:rPr>
        <w:t>FBiH</w:t>
      </w:r>
      <w:proofErr w:type="spellEnd"/>
      <w:r>
        <w:rPr>
          <w:rFonts w:eastAsia="Times New Roman"/>
        </w:rPr>
        <w:t xml:space="preserve">. Svim djelatnicima su popunjeni e-kartoni, djelatnici su iste potpisali, te su dostavljeni ADS </w:t>
      </w:r>
      <w:proofErr w:type="spellStart"/>
      <w:r>
        <w:rPr>
          <w:rFonts w:eastAsia="Times New Roman"/>
        </w:rPr>
        <w:t>FBiH</w:t>
      </w:r>
      <w:proofErr w:type="spellEnd"/>
      <w:r>
        <w:rPr>
          <w:rFonts w:eastAsia="Times New Roman"/>
        </w:rPr>
        <w:t>.</w:t>
      </w:r>
    </w:p>
    <w:p w:rsidR="002B00E7" w:rsidRDefault="002B00E7" w:rsidP="002B00E7">
      <w:pPr>
        <w:numPr>
          <w:ilvl w:val="0"/>
          <w:numId w:val="1"/>
        </w:numPr>
        <w:spacing w:after="160" w:line="252" w:lineRule="auto"/>
        <w:contextualSpacing/>
        <w:jc w:val="both"/>
        <w:rPr>
          <w:rFonts w:eastAsia="Times New Roman"/>
        </w:rPr>
      </w:pPr>
      <w:r>
        <w:rPr>
          <w:rFonts w:eastAsia="Times New Roman"/>
        </w:rPr>
        <w:t xml:space="preserve">Donesen je Pravilnik o javnim nabavkama, Pravilnik o postupka davanja izjave o sukobu </w:t>
      </w:r>
      <w:proofErr w:type="spellStart"/>
      <w:r>
        <w:rPr>
          <w:rFonts w:eastAsia="Times New Roman"/>
        </w:rPr>
        <w:t>interesa</w:t>
      </w:r>
      <w:proofErr w:type="spellEnd"/>
      <w:r>
        <w:rPr>
          <w:rFonts w:eastAsia="Times New Roman"/>
        </w:rPr>
        <w:t xml:space="preserve">, kao i Instrukcija o imenovanju, načinu glasanja i </w:t>
      </w:r>
      <w:proofErr w:type="spellStart"/>
      <w:r>
        <w:rPr>
          <w:rFonts w:eastAsia="Times New Roman"/>
        </w:rPr>
        <w:t>odlučivanja</w:t>
      </w:r>
      <w:proofErr w:type="spellEnd"/>
      <w:r>
        <w:rPr>
          <w:rFonts w:eastAsia="Times New Roman"/>
        </w:rPr>
        <w:t xml:space="preserve"> komisije za javne nabavke. </w:t>
      </w:r>
    </w:p>
    <w:p w:rsidR="002B00E7" w:rsidRDefault="002B00E7" w:rsidP="002B00E7">
      <w:pPr>
        <w:jc w:val="both"/>
        <w:rPr>
          <w:lang w:val="hr-BA"/>
        </w:rPr>
      </w:pPr>
      <w:r>
        <w:rPr>
          <w:lang w:val="hr-BA"/>
        </w:rPr>
        <w:t xml:space="preserve">            Nadalje, što se tiče urgencija stranaka za rješavanjem predmeta, iste se pregledavaju od strane Predsjednika suda  kvartalno i ukoliko su  opravdane stavljaju na Listu Van plana za pojedine kvartale, obzirom da se na Plan rješavanja starih predmeta stavljaju najstariji predmeti prema datumu inicijalnog akta . </w:t>
      </w:r>
    </w:p>
    <w:p w:rsidR="002B00E7" w:rsidRDefault="002B00E7" w:rsidP="002B00E7">
      <w:pPr>
        <w:jc w:val="both"/>
        <w:rPr>
          <w:lang w:val="hr-BA"/>
        </w:rPr>
      </w:pPr>
    </w:p>
    <w:p w:rsidR="002B00E7" w:rsidRDefault="002B00E7" w:rsidP="002B00E7">
      <w:pPr>
        <w:jc w:val="both"/>
        <w:rPr>
          <w:lang w:val="hr-BA"/>
        </w:rPr>
      </w:pPr>
      <w:r>
        <w:rPr>
          <w:lang w:val="hr-BA"/>
        </w:rPr>
        <w:t>            Važno je također istaći da je između predmeta koji se odnose na sudsku upravu (</w:t>
      </w:r>
      <w:proofErr w:type="spellStart"/>
      <w:r>
        <w:rPr>
          <w:lang w:val="hr-BA"/>
        </w:rPr>
        <w:t>sig.Su</w:t>
      </w:r>
      <w:proofErr w:type="spellEnd"/>
      <w:r>
        <w:rPr>
          <w:lang w:val="hr-BA"/>
        </w:rPr>
        <w:t>) zaprimljen i  riješen 31 zahtjev za slobodu pristupa informacijama, sa napomenom da  se ti zahtjevi rješavaju  kraćim putem e-maila, tako da su strankama što prije udovolji.</w:t>
      </w:r>
    </w:p>
    <w:p w:rsidR="002B00E7" w:rsidRDefault="002B00E7" w:rsidP="002B00E7">
      <w:pPr>
        <w:jc w:val="both"/>
        <w:rPr>
          <w:lang w:val="hr-BA"/>
        </w:rPr>
      </w:pPr>
    </w:p>
    <w:p w:rsidR="002B00E7" w:rsidRDefault="002B00E7" w:rsidP="002B00E7">
      <w:pPr>
        <w:jc w:val="both"/>
        <w:rPr>
          <w:lang w:val="hr-BA"/>
        </w:rPr>
      </w:pPr>
      <w:r>
        <w:rPr>
          <w:lang w:val="hr-BA"/>
        </w:rPr>
        <w:t>            Predsjednik suda i tajnica suda  su organizirali poslove iz sudske uprave, tako da su se svi poslovi izvršavali na vrijeme, a izvršeno je i ocjenjivanje 4 predsjednika prvostupanjskih sudova Općinskih sudova Konjic, Čapljina, Čitluk i Mostar , ocjenjeno je 17 sudaca ovog suda od strane Predsjednika suda .</w:t>
      </w:r>
    </w:p>
    <w:p w:rsidR="002B00E7" w:rsidRDefault="002B00E7" w:rsidP="002B00E7">
      <w:pPr>
        <w:jc w:val="both"/>
        <w:rPr>
          <w:lang w:val="hr-BA"/>
        </w:rPr>
      </w:pPr>
    </w:p>
    <w:p w:rsidR="002B00E7" w:rsidRDefault="002B00E7" w:rsidP="002B00E7">
      <w:pPr>
        <w:jc w:val="both"/>
        <w:rPr>
          <w:lang w:val="hr-BA"/>
        </w:rPr>
      </w:pPr>
      <w:r>
        <w:rPr>
          <w:lang w:val="hr-BA"/>
        </w:rPr>
        <w:t xml:space="preserve">            U izvještajnom periodu kontinuirano su se pratili mjesečni izvještaji o radu svakog suca pojedinačno i suda u cjelinu kroz sistem CMS-a u smislu broja urađenih odluka, kvaliteta rada (po vanrednim pravnim lijekovima i apelacijama) ali i stanju broja neriješenih predmeta. Pravodobno se dostavljaju izvještaju VSTV-u, Sudu BIH, Vrhovnom sudu FBIH i Ministarstvu pravosuđa, uprave i lokalne samouprave koji su propisani zakonima i ostalih propisima. </w:t>
      </w:r>
    </w:p>
    <w:p w:rsidR="002B00E7" w:rsidRDefault="002B00E7" w:rsidP="002B00E7">
      <w:pPr>
        <w:jc w:val="both"/>
        <w:rPr>
          <w:lang w:val="hr-BA"/>
        </w:rPr>
      </w:pPr>
    </w:p>
    <w:p w:rsidR="002B00E7" w:rsidRDefault="002B00E7" w:rsidP="002B00E7">
      <w:pPr>
        <w:jc w:val="both"/>
        <w:rPr>
          <w:lang w:val="hr-BA"/>
        </w:rPr>
      </w:pPr>
      <w:r>
        <w:rPr>
          <w:lang w:val="hr-BA"/>
        </w:rPr>
        <w:t xml:space="preserve">            Uposlenici sudske uprave su, temeljem Odluka i akata VSTV BIH, vršili kontinuirano podjelu predmeta za rad i to prema starosti inicijalnog akta i hitnosti postupaka, uzimajući u obzir i urgencije po pojedinim spisima, s tim što je predsjednik odjela u okviru plana rješavanja starih predmeta svaka tri mjeseca vršio kontinuiranu podjelu predmeta za rad te u tom smislu svakom od 13 sudaca sa građanskog referata dodjeljivao kvartalno po 43 predmeta, a za kazneni i upravni odjel sačinjen je godišnji plan prema </w:t>
      </w:r>
      <w:proofErr w:type="spellStart"/>
      <w:r>
        <w:rPr>
          <w:lang w:val="hr-BA"/>
        </w:rPr>
        <w:t>Uputstvu</w:t>
      </w:r>
      <w:proofErr w:type="spellEnd"/>
      <w:r>
        <w:rPr>
          <w:lang w:val="hr-BA"/>
        </w:rPr>
        <w:t xml:space="preserve"> VSTV-a.</w:t>
      </w:r>
    </w:p>
    <w:p w:rsidR="002B00E7" w:rsidRDefault="002B00E7" w:rsidP="002B00E7">
      <w:pPr>
        <w:jc w:val="both"/>
        <w:rPr>
          <w:lang w:val="hr-BA"/>
        </w:rPr>
      </w:pPr>
    </w:p>
    <w:p w:rsidR="002B00E7" w:rsidRDefault="002B00E7" w:rsidP="002B00E7">
      <w:pPr>
        <w:jc w:val="both"/>
        <w:rPr>
          <w:lang w:val="hr-BA"/>
        </w:rPr>
      </w:pPr>
      <w:r>
        <w:rPr>
          <w:lang w:val="hr-BA"/>
        </w:rPr>
        <w:t>            U okviru pisarnice suda su se redovno održavali radni sastanci sa šefovima unutrašnjih organizacionih jedinica i uposlenicima Odjela, a što je rezultiralo znatno boljom kvalitetom obavljanja svakodnevnih poslova i radnih zadataka, odgovornijim odnosim prema radu i radnoj disciplini te dosljednijem poštivanju etičkog kodeksa ponašanja.</w:t>
      </w:r>
    </w:p>
    <w:p w:rsidR="002B00E7" w:rsidRDefault="002B00E7" w:rsidP="002B00E7">
      <w:pPr>
        <w:jc w:val="both"/>
        <w:rPr>
          <w:lang w:val="hr-BA"/>
        </w:rPr>
      </w:pPr>
    </w:p>
    <w:p w:rsidR="002B00E7" w:rsidRDefault="002B00E7" w:rsidP="002B00E7">
      <w:pPr>
        <w:jc w:val="both"/>
        <w:rPr>
          <w:lang w:val="hr-BA"/>
        </w:rPr>
      </w:pPr>
      <w:r>
        <w:rPr>
          <w:lang w:val="hr-BA"/>
        </w:rPr>
        <w:t xml:space="preserve">            Sudska uprava je isto tako u toku 2021.godine osigurala sucima logističku podršku pri ostvarivanju obveznih edukacija ostvarenih kroz seminare i savjetovanja koji su bili </w:t>
      </w:r>
      <w:r>
        <w:rPr>
          <w:lang w:val="hr-BA"/>
        </w:rPr>
        <w:lastRenderedPageBreak/>
        <w:t xml:space="preserve">organizirani od strane Centra za edukaciju sudaca i tužitelja FBIH zbog </w:t>
      </w:r>
      <w:proofErr w:type="spellStart"/>
      <w:r>
        <w:rPr>
          <w:lang w:val="hr-BA"/>
        </w:rPr>
        <w:t>pandemije</w:t>
      </w:r>
      <w:proofErr w:type="spellEnd"/>
      <w:r>
        <w:rPr>
          <w:lang w:val="hr-BA"/>
        </w:rPr>
        <w:t xml:space="preserve">, tako a su se svi seminari održavali u sudu i online, što se pokazalo kao veoma dobro rješenje u postojećoj situaciji, jer su svi suci ispunili najmanje 3 obavezna dana prisustvovanja edukaciji, a neki i mnogo više, a iskustva stečena na stručnim usavršavanjima pozitivno se odrazila na </w:t>
      </w:r>
      <w:proofErr w:type="spellStart"/>
      <w:r>
        <w:rPr>
          <w:lang w:val="hr-BA"/>
        </w:rPr>
        <w:t>kvalitet</w:t>
      </w:r>
      <w:proofErr w:type="spellEnd"/>
      <w:r>
        <w:rPr>
          <w:lang w:val="hr-BA"/>
        </w:rPr>
        <w:t xml:space="preserve"> rada svakog suca pojedinačno ali i Suda u cjelini.</w:t>
      </w:r>
    </w:p>
    <w:p w:rsidR="002B00E7" w:rsidRDefault="002B00E7" w:rsidP="002B00E7">
      <w:pPr>
        <w:jc w:val="both"/>
        <w:rPr>
          <w:lang w:val="hr-BA"/>
        </w:rPr>
      </w:pPr>
    </w:p>
    <w:p w:rsidR="002B00E7" w:rsidRDefault="002B00E7" w:rsidP="002B00E7">
      <w:pPr>
        <w:jc w:val="both"/>
        <w:rPr>
          <w:lang w:val="hr-BA"/>
        </w:rPr>
      </w:pPr>
      <w:r>
        <w:rPr>
          <w:lang w:val="hr-BA"/>
        </w:rPr>
        <w:t xml:space="preserve">            Na kraju treba istači da je sudska uprava ostvarila i veoma dobru suradnju sa Odjelom sudske policije HNK/Ž i da je sudska policija u proteklom periodu uspješno obavila sve zadatke koje je dobivala od strane predsjednika Suda i sudaca sa krivičnog referata. </w:t>
      </w:r>
    </w:p>
    <w:p w:rsidR="002B00E7" w:rsidRDefault="002B00E7" w:rsidP="002B00E7">
      <w:pPr>
        <w:jc w:val="both"/>
        <w:rPr>
          <w:b/>
          <w:bCs/>
          <w:i/>
          <w:iCs/>
          <w:lang w:val="hr-BA"/>
        </w:rPr>
      </w:pPr>
    </w:p>
    <w:p w:rsidR="002B00E7" w:rsidRDefault="002B00E7" w:rsidP="002B00E7">
      <w:pPr>
        <w:jc w:val="center"/>
        <w:rPr>
          <w:b/>
          <w:bCs/>
          <w:i/>
          <w:iCs/>
          <w:lang w:val="hr-BA"/>
        </w:rPr>
      </w:pPr>
    </w:p>
    <w:p w:rsidR="002B00E7" w:rsidRDefault="002B00E7" w:rsidP="002B00E7">
      <w:pPr>
        <w:jc w:val="center"/>
        <w:rPr>
          <w:b/>
          <w:bCs/>
          <w:i/>
          <w:iCs/>
          <w:lang w:val="hr-BA"/>
        </w:rPr>
      </w:pPr>
      <w:r>
        <w:rPr>
          <w:b/>
          <w:bCs/>
          <w:i/>
          <w:iCs/>
          <w:lang w:val="hr-BA"/>
        </w:rPr>
        <w:t>KADROVSKA SITUACIJA U SUDU</w:t>
      </w:r>
    </w:p>
    <w:p w:rsidR="002B00E7" w:rsidRDefault="002B00E7" w:rsidP="002B00E7">
      <w:pPr>
        <w:jc w:val="center"/>
        <w:rPr>
          <w:b/>
          <w:bCs/>
          <w:i/>
          <w:iCs/>
          <w:lang w:val="hr-BA"/>
        </w:rPr>
      </w:pPr>
    </w:p>
    <w:p w:rsidR="002B00E7" w:rsidRDefault="002B00E7" w:rsidP="002B00E7">
      <w:pPr>
        <w:jc w:val="both"/>
        <w:rPr>
          <w:lang w:val="hr-BA"/>
        </w:rPr>
      </w:pPr>
      <w:r>
        <w:rPr>
          <w:lang w:val="hr-BA"/>
        </w:rPr>
        <w:t xml:space="preserve">            Pravilnikom u unutrašnjoj organizaciji Suda, donesenim od strane predsjednika Suda, određen je broj sudaca i ostalih uposlenika radi obavljanja zakonom određenih poslova i radnih zadataka. </w:t>
      </w:r>
    </w:p>
    <w:p w:rsidR="002B00E7" w:rsidRDefault="002B00E7" w:rsidP="002B00E7">
      <w:pPr>
        <w:jc w:val="both"/>
        <w:rPr>
          <w:lang w:val="hr-BA"/>
        </w:rPr>
      </w:pPr>
    </w:p>
    <w:p w:rsidR="002B00E7" w:rsidRDefault="002B00E7" w:rsidP="002B00E7">
      <w:pPr>
        <w:jc w:val="both"/>
        <w:rPr>
          <w:lang w:val="hr-BA"/>
        </w:rPr>
      </w:pPr>
      <w:r>
        <w:rPr>
          <w:lang w:val="hr-BA"/>
        </w:rPr>
        <w:t>            Naravno, broj neposrednih izvršitelja u Sudu nije uvjetovan brojem predmeta koje svake godine Sud zaprimi ili riješi, nego je to brojčani parametar koji je određen shodno mjerilima i kriterijima o broju sudaca koji za svaki sud donosi VSTV BIH. U pogledu administrativno – tehničkog osoblja taj parametar određen je Pravilnikom o utvrđivanju kriterija za određivanje potrebnog broja zaposlenika u općinskih i kantonalnim sudovima i Vrhovnog suda FBIH, a koji je donesen od strane ministra pravde Federacije BIH.</w:t>
      </w:r>
    </w:p>
    <w:p w:rsidR="002B00E7" w:rsidRDefault="002B00E7" w:rsidP="002B00E7">
      <w:pPr>
        <w:jc w:val="both"/>
        <w:rPr>
          <w:lang w:val="hr-BA"/>
        </w:rPr>
      </w:pPr>
    </w:p>
    <w:p w:rsidR="002B00E7" w:rsidRDefault="002B00E7" w:rsidP="002B00E7">
      <w:pPr>
        <w:jc w:val="both"/>
        <w:rPr>
          <w:lang w:val="hr-BA"/>
        </w:rPr>
      </w:pPr>
      <w:r>
        <w:rPr>
          <w:lang w:val="hr-BA"/>
        </w:rPr>
        <w:t>            U prethodnim godinama, Odlukom VSTV-a BIH, povećan je broj sudaca u ovom Sudu na 21, tako da ovaj sud još nije počeo da radi punim kapacitetom ( u 2021.godini jedna sutkinja otišla u mirovinu), te se očekuje imenovanje troje sudaca. Od Vlade HNK/Ž je zatražena suglasnost za prijem četvero djelatnika (za dvoje je traženo tokom 2021.g., a za dvoje početkom 2022.g., jer su ta dva mjesta upražnjena s 31.12.2021.g.), i to jednog stručnog suradnika (koji je 2021. godine s mjesta stručnog suradnika putem javnog natječaja napredovao na mjesto tajnika suda), jedne spremačice radnog prostora (koja je 31.12.2021. godine otišla u mirovinu), te dva viša referenta – asistenta suca (jedan je otišao u mirovinu tokom 2021., dok je drugi rješenjem o raspoređivanju s mjesta višeg referenta – asistenta suca raspoređen na ranije upražnjeno mjesto višeg referenta blagajnika koji je 31.12.2021. godine otišao u mirovinu).</w:t>
      </w:r>
    </w:p>
    <w:p w:rsidR="002B00E7" w:rsidRDefault="002B00E7" w:rsidP="002B00E7">
      <w:pPr>
        <w:jc w:val="both"/>
        <w:rPr>
          <w:lang w:val="hr-BA"/>
        </w:rPr>
      </w:pPr>
    </w:p>
    <w:p w:rsidR="002B00E7" w:rsidRDefault="002B00E7" w:rsidP="002B00E7">
      <w:pPr>
        <w:jc w:val="both"/>
        <w:rPr>
          <w:lang w:val="hr-BA"/>
        </w:rPr>
      </w:pPr>
      <w:r>
        <w:rPr>
          <w:lang w:val="hr-BA"/>
        </w:rPr>
        <w:t xml:space="preserve">            Kada se uzme u obzir broj neriješenih predmeta na kraju svake izvještajne godine, onda je sasvim evidentno da imenovanjem novih sudaca jedino ispravno i trajno rješenje, ali je isto tako neophodno da se što skorije dobije suglasnost Vlade HNŽ/K za popunjavanje već navedenih radnih mjesta za djelatnike (jedan državni službenik i troje namještenika). </w:t>
      </w:r>
    </w:p>
    <w:p w:rsidR="002B00E7" w:rsidRDefault="002B00E7" w:rsidP="002B00E7">
      <w:pPr>
        <w:ind w:firstLine="708"/>
        <w:jc w:val="both"/>
        <w:rPr>
          <w:lang w:val="hr-BA"/>
        </w:rPr>
      </w:pPr>
      <w:r>
        <w:rPr>
          <w:lang w:val="hr-BA"/>
        </w:rPr>
        <w:t xml:space="preserve">Na kraju, ostaje  još i da se popuni radno mjesto stručnog suradnika za odnose sa javnošću – </w:t>
      </w:r>
      <w:proofErr w:type="spellStart"/>
      <w:r>
        <w:rPr>
          <w:lang w:val="hr-BA"/>
        </w:rPr>
        <w:t>potparol</w:t>
      </w:r>
      <w:proofErr w:type="spellEnd"/>
      <w:r>
        <w:rPr>
          <w:lang w:val="hr-BA"/>
        </w:rPr>
        <w:t xml:space="preserve">, a koje je radno mjesto predviđeno sistematizacijom radnih mjesta i za što je pribavljena suglasnost nadležnog Federalnog ministarstva pravde Sarajevo. </w:t>
      </w:r>
    </w:p>
    <w:p w:rsidR="002B00E7" w:rsidRDefault="002B00E7" w:rsidP="002B00E7">
      <w:pPr>
        <w:ind w:firstLine="708"/>
        <w:jc w:val="both"/>
        <w:rPr>
          <w:lang w:val="hr-BA"/>
        </w:rPr>
      </w:pPr>
    </w:p>
    <w:p w:rsidR="002B00E7" w:rsidRDefault="002B00E7" w:rsidP="002B00E7">
      <w:pPr>
        <w:jc w:val="center"/>
        <w:rPr>
          <w:lang w:val="hr-BA"/>
        </w:rPr>
      </w:pPr>
    </w:p>
    <w:p w:rsidR="002B00E7" w:rsidRDefault="002B00E7" w:rsidP="002B00E7">
      <w:pPr>
        <w:jc w:val="center"/>
        <w:rPr>
          <w:lang w:val="hr-BA"/>
        </w:rPr>
      </w:pPr>
      <w:r>
        <w:rPr>
          <w:lang w:val="hr-BA"/>
        </w:rPr>
        <w:t>U Mostaru, 31.01.2022.godine.</w:t>
      </w:r>
    </w:p>
    <w:p w:rsidR="002B00E7" w:rsidRDefault="002B00E7" w:rsidP="002B00E7">
      <w:pPr>
        <w:jc w:val="center"/>
        <w:rPr>
          <w:lang w:val="hr-BA"/>
        </w:rPr>
      </w:pPr>
    </w:p>
    <w:p w:rsidR="002B00E7" w:rsidRDefault="002B00E7" w:rsidP="002B00E7">
      <w:pPr>
        <w:jc w:val="center"/>
        <w:rPr>
          <w:lang w:val="hr-BA"/>
        </w:rPr>
      </w:pPr>
    </w:p>
    <w:p w:rsidR="002B00E7" w:rsidRPr="002B00E7" w:rsidRDefault="002B00E7" w:rsidP="002B00E7">
      <w:pPr>
        <w:jc w:val="center"/>
        <w:rPr>
          <w:lang w:val="hr-BA"/>
        </w:rPr>
      </w:pPr>
      <w:r>
        <w:rPr>
          <w:lang w:val="hr-BA"/>
        </w:rPr>
        <w:t xml:space="preserve">                                                              </w:t>
      </w:r>
      <w:r>
        <w:rPr>
          <w:b/>
          <w:bCs/>
          <w:lang w:val="hr-BA"/>
        </w:rPr>
        <w:t>PREDSJEDNIK SUDA</w:t>
      </w:r>
    </w:p>
    <w:p w:rsidR="002B00E7" w:rsidRDefault="002B00E7" w:rsidP="002B00E7">
      <w:pPr>
        <w:ind w:left="4320" w:firstLine="720"/>
        <w:jc w:val="both"/>
        <w:rPr>
          <w:lang w:val="hr-BA"/>
        </w:rPr>
      </w:pPr>
      <w:r>
        <w:rPr>
          <w:lang w:val="hr-BA"/>
        </w:rPr>
        <w:t xml:space="preserve">            Zoran </w:t>
      </w:r>
      <w:proofErr w:type="spellStart"/>
      <w:r>
        <w:rPr>
          <w:lang w:val="hr-BA"/>
        </w:rPr>
        <w:t>Krtalić</w:t>
      </w:r>
      <w:proofErr w:type="spellEnd"/>
    </w:p>
    <w:p w:rsidR="00317730" w:rsidRDefault="00317730"/>
    <w:sectPr w:rsidR="00317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12F72"/>
    <w:multiLevelType w:val="hybridMultilevel"/>
    <w:tmpl w:val="784A27E8"/>
    <w:lvl w:ilvl="0" w:tplc="101A000F">
      <w:start w:val="1"/>
      <w:numFmt w:val="decimal"/>
      <w:lvlText w:val="%1."/>
      <w:lvlJc w:val="left"/>
      <w:pPr>
        <w:ind w:left="720" w:hanging="36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E7"/>
    <w:rsid w:val="002B00E7"/>
    <w:rsid w:val="00317730"/>
    <w:rsid w:val="00D567F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088BB"/>
  <w15:chartTrackingRefBased/>
  <w15:docId w15:val="{C0808FBD-DE86-43F8-9C5E-45988798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0E7"/>
    <w:pPr>
      <w:spacing w:after="0" w:line="240" w:lineRule="auto"/>
    </w:pPr>
    <w:rPr>
      <w:rFonts w:ascii="Times New Roman" w:hAnsi="Times New Roman" w:cs="Times New Roman"/>
      <w:sz w:val="24"/>
      <w:szCs w:val="24"/>
    </w:rPr>
  </w:style>
  <w:style w:type="paragraph" w:styleId="Naslov1">
    <w:name w:val="heading 1"/>
    <w:basedOn w:val="Normal"/>
    <w:link w:val="Naslov1Char"/>
    <w:uiPriority w:val="9"/>
    <w:qFormat/>
    <w:rsid w:val="002B00E7"/>
    <w:pPr>
      <w:keepNext/>
      <w:jc w:val="center"/>
      <w:outlineLvl w:val="0"/>
    </w:pPr>
    <w:rPr>
      <w:b/>
      <w:bCs/>
      <w:kern w:val="36"/>
      <w:lang w:eastAsia="hr-HR"/>
    </w:rPr>
  </w:style>
  <w:style w:type="paragraph" w:styleId="Naslov7">
    <w:name w:val="heading 7"/>
    <w:basedOn w:val="Normal"/>
    <w:link w:val="Naslov7Char"/>
    <w:uiPriority w:val="9"/>
    <w:semiHidden/>
    <w:unhideWhenUsed/>
    <w:qFormat/>
    <w:rsid w:val="002B00E7"/>
    <w:pPr>
      <w:keepNext/>
      <w:jc w:val="center"/>
      <w:outlineLvl w:val="6"/>
    </w:pPr>
    <w:rPr>
      <w:i/>
      <w:iCs/>
      <w:sz w:val="28"/>
      <w:szCs w:val="28"/>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B00E7"/>
    <w:rPr>
      <w:rFonts w:ascii="Times New Roman" w:hAnsi="Times New Roman" w:cs="Times New Roman"/>
      <w:b/>
      <w:bCs/>
      <w:kern w:val="36"/>
      <w:sz w:val="24"/>
      <w:szCs w:val="24"/>
      <w:lang w:eastAsia="hr-HR"/>
    </w:rPr>
  </w:style>
  <w:style w:type="character" w:customStyle="1" w:styleId="Naslov7Char">
    <w:name w:val="Naslov 7 Char"/>
    <w:basedOn w:val="Zadanifontodlomka"/>
    <w:link w:val="Naslov7"/>
    <w:uiPriority w:val="9"/>
    <w:semiHidden/>
    <w:rsid w:val="002B00E7"/>
    <w:rPr>
      <w:rFonts w:ascii="Times New Roman" w:hAnsi="Times New Roman" w:cs="Times New Roman"/>
      <w:i/>
      <w:iCs/>
      <w:sz w:val="28"/>
      <w:szCs w:val="28"/>
      <w:lang w:eastAsia="hr-HR"/>
    </w:rPr>
  </w:style>
  <w:style w:type="character" w:customStyle="1" w:styleId="TijelotekstaChar">
    <w:name w:val="Tijelo teksta Char"/>
    <w:aliases w:val="uvlaka 3 Char"/>
    <w:basedOn w:val="Zadanifontodlomka"/>
    <w:link w:val="Tijeloteksta"/>
    <w:semiHidden/>
    <w:locked/>
    <w:rsid w:val="002B00E7"/>
  </w:style>
  <w:style w:type="paragraph" w:styleId="Tijeloteksta">
    <w:name w:val="Body Text"/>
    <w:aliases w:val="uvlaka 3"/>
    <w:basedOn w:val="Normal"/>
    <w:link w:val="TijelotekstaChar"/>
    <w:semiHidden/>
    <w:unhideWhenUsed/>
    <w:rsid w:val="002B00E7"/>
    <w:pPr>
      <w:jc w:val="both"/>
    </w:pPr>
    <w:rPr>
      <w:rFonts w:asciiTheme="minorHAnsi" w:hAnsiTheme="minorHAnsi" w:cstheme="minorBidi"/>
      <w:sz w:val="22"/>
      <w:szCs w:val="22"/>
    </w:rPr>
  </w:style>
  <w:style w:type="character" w:customStyle="1" w:styleId="TijelotekstaChar1">
    <w:name w:val="Tijelo teksta Char1"/>
    <w:basedOn w:val="Zadanifontodlomka"/>
    <w:uiPriority w:val="99"/>
    <w:semiHidden/>
    <w:rsid w:val="002B00E7"/>
    <w:rPr>
      <w:rFonts w:ascii="Times New Roman" w:hAnsi="Times New Roman" w:cs="Times New Roman"/>
      <w:sz w:val="24"/>
      <w:szCs w:val="24"/>
    </w:rPr>
  </w:style>
  <w:style w:type="paragraph" w:styleId="Bezproreda">
    <w:name w:val="No Spacing"/>
    <w:basedOn w:val="Normal"/>
    <w:uiPriority w:val="1"/>
    <w:qFormat/>
    <w:rsid w:val="002B00E7"/>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6708</Words>
  <Characters>38238</Characters>
  <Application>Microsoft Office Word</Application>
  <DocSecurity>0</DocSecurity>
  <Lines>318</Lines>
  <Paragraphs>89</Paragraphs>
  <ScaleCrop>false</ScaleCrop>
  <HeadingPairs>
    <vt:vector size="2" baseType="variant">
      <vt:variant>
        <vt:lpstr>Naslov</vt:lpstr>
      </vt:variant>
      <vt:variant>
        <vt:i4>1</vt:i4>
      </vt:variant>
    </vt:vector>
  </HeadingPairs>
  <TitlesOfParts>
    <vt:vector size="1" baseType="lpstr">
      <vt:lpstr/>
    </vt:vector>
  </TitlesOfParts>
  <Company>Pravosudje</Company>
  <LinksUpToDate>false</LinksUpToDate>
  <CharactersWithSpaces>44857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Snjezana Topic</dc:creator>
  <cp:keywords/>
  <dc:description/>
  <cp:lastModifiedBy>Snjezana Topic</cp:lastModifiedBy>
  <cp:revision>3</cp:revision>
  <cp:lastPrinted>2022-02-10T13:34:00Z</cp:lastPrinted>
  <dcterms:created xsi:type="dcterms:W3CDTF">2022-02-08T13:25:00Z</dcterms:created>
  <dcterms:modified xsi:type="dcterms:W3CDTF">2022-02-10T13:38:00Z</dcterms:modified>
</cp:coreProperties>
</file>