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pct"/>
        <w:jc w:val="center"/>
        <w:tblLook w:val="04A0" w:firstRow="1" w:lastRow="0" w:firstColumn="1" w:lastColumn="0" w:noHBand="0" w:noVBand="1"/>
      </w:tblPr>
      <w:tblGrid>
        <w:gridCol w:w="11088"/>
      </w:tblGrid>
      <w:tr w:rsidR="000F13F6" w:rsidRPr="00944D33" w:rsidTr="008D60BD">
        <w:trPr>
          <w:cantSplit/>
          <w:trHeight w:hRule="exact" w:val="12168"/>
          <w:jc w:val="center"/>
        </w:trPr>
        <w:tc>
          <w:tcPr>
            <w:tcW w:w="10296" w:type="dxa"/>
            <w:shd w:val="clear" w:color="auto" w:fill="34345A"/>
          </w:tcPr>
          <w:p w:rsidR="000F13F6" w:rsidRPr="00944D33" w:rsidRDefault="000052AD">
            <w:pPr>
              <w:pStyle w:val="Subtitle"/>
              <w:rPr>
                <w:rFonts w:asciiTheme="minorHAnsi" w:hAnsiTheme="minorHAnsi"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lang w:val="hr-BA"/>
              </w:rPr>
              <w:t xml:space="preserve">Strateški okvir za period </w:t>
            </w:r>
            <w:r w:rsidR="0092626D">
              <w:rPr>
                <w:rFonts w:asciiTheme="minorHAnsi" w:hAnsiTheme="minorHAnsi"/>
                <w:color w:val="auto"/>
                <w:lang w:val="hr-BA"/>
              </w:rPr>
              <w:t>2019– 2021</w:t>
            </w:r>
            <w:r w:rsidR="005033F5" w:rsidRPr="00944D33">
              <w:rPr>
                <w:rFonts w:asciiTheme="minorHAnsi" w:hAnsiTheme="minorHAnsi"/>
                <w:color w:val="auto"/>
                <w:lang w:val="hr-BA"/>
              </w:rPr>
              <w:t>.</w:t>
            </w:r>
          </w:p>
          <w:p w:rsidR="000F13F6" w:rsidRPr="00944D33" w:rsidRDefault="000052AD">
            <w:pPr>
              <w:pStyle w:val="Title"/>
              <w:rPr>
                <w:rFonts w:asciiTheme="minorHAnsi" w:hAnsiTheme="minorHAnsi"/>
                <w:color w:val="auto"/>
                <w:sz w:val="2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lang w:val="hr-BA"/>
              </w:rPr>
              <w:t>Za tužilaštva u</w:t>
            </w:r>
            <w:r w:rsidR="00B26051" w:rsidRPr="00944D33">
              <w:rPr>
                <w:rFonts w:asciiTheme="minorHAnsi" w:hAnsiTheme="minorHAnsi"/>
                <w:color w:val="auto"/>
                <w:lang w:val="hr-BA"/>
              </w:rPr>
              <w:t xml:space="preserve"> </w:t>
            </w:r>
            <w:r w:rsidRPr="00944D33">
              <w:rPr>
                <w:rFonts w:asciiTheme="minorHAnsi" w:hAnsiTheme="minorHAnsi"/>
                <w:color w:val="auto"/>
                <w:lang w:val="hr-BA"/>
              </w:rPr>
              <w:t>Federaciji</w:t>
            </w:r>
            <w:r w:rsidR="00435760" w:rsidRPr="00944D33">
              <w:rPr>
                <w:rFonts w:asciiTheme="minorHAnsi" w:hAnsiTheme="minorHAnsi"/>
                <w:color w:val="auto"/>
                <w:lang w:val="hr-BA"/>
              </w:rPr>
              <w:t xml:space="preserve"> Bosne i Hercegovine</w:t>
            </w:r>
          </w:p>
          <w:p w:rsidR="000F13F6" w:rsidRPr="00944D33" w:rsidRDefault="00A4216A">
            <w:pPr>
              <w:jc w:val="center"/>
              <w:rPr>
                <w:rFonts w:asciiTheme="minorHAnsi" w:hAnsiTheme="minorHAnsi"/>
                <w:color w:val="auto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noProof/>
                <w:color w:val="auto"/>
                <w:szCs w:val="20"/>
              </w:rPr>
              <w:drawing>
                <wp:inline distT="0" distB="0" distL="0" distR="0" wp14:anchorId="301682DA" wp14:editId="6AA6B0A5">
                  <wp:extent cx="6400800" cy="3400425"/>
                  <wp:effectExtent l="0" t="0" r="0" b="9525"/>
                  <wp:docPr id="1" name="Picture 4" descr="Description: Macintosh HD:Users:samrasuskic-basic:Desktop:pravosudj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Macintosh HD:Users:samrasuskic-basic:Desktop:pravosudj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3F6" w:rsidRPr="00944D33" w:rsidTr="008D60BD">
        <w:trPr>
          <w:cantSplit/>
          <w:trHeight w:hRule="exact" w:val="2160"/>
          <w:jc w:val="center"/>
        </w:trPr>
        <w:tc>
          <w:tcPr>
            <w:tcW w:w="10296" w:type="dxa"/>
            <w:shd w:val="clear" w:color="auto" w:fill="34345A"/>
            <w:vAlign w:val="bottom"/>
          </w:tcPr>
          <w:p w:rsidR="000F13F6" w:rsidRPr="00944D33" w:rsidRDefault="0092626D" w:rsidP="005033F5">
            <w:pPr>
              <w:pStyle w:val="ContactDetails"/>
              <w:rPr>
                <w:rFonts w:asciiTheme="minorHAnsi" w:hAnsiTheme="minorHAnsi"/>
                <w:color w:val="auto"/>
                <w:szCs w:val="20"/>
                <w:lang w:val="hr-BA"/>
              </w:rPr>
            </w:pPr>
            <w:r>
              <w:rPr>
                <w:rFonts w:asciiTheme="minorHAnsi" w:hAnsiTheme="minorHAnsi"/>
                <w:color w:val="auto"/>
                <w:lang w:val="hr-BA"/>
              </w:rPr>
              <w:t>Februar</w:t>
            </w:r>
            <w:r w:rsidR="00303FBA" w:rsidRPr="00944D33">
              <w:rPr>
                <w:rFonts w:asciiTheme="minorHAnsi" w:hAnsiTheme="minorHAnsi"/>
                <w:color w:val="auto"/>
                <w:lang w:val="hr-BA"/>
              </w:rPr>
              <w:t xml:space="preserve"> 201</w:t>
            </w:r>
            <w:r>
              <w:rPr>
                <w:rFonts w:asciiTheme="minorHAnsi" w:hAnsiTheme="minorHAnsi"/>
                <w:color w:val="auto"/>
                <w:lang w:val="hr-BA"/>
              </w:rPr>
              <w:t>9</w:t>
            </w:r>
            <w:r w:rsidR="00303FBA" w:rsidRPr="00944D33">
              <w:rPr>
                <w:rFonts w:asciiTheme="minorHAnsi" w:hAnsiTheme="minorHAnsi"/>
                <w:color w:val="auto"/>
                <w:lang w:val="hr-BA"/>
              </w:rPr>
              <w:t>. godine</w:t>
            </w:r>
            <w:r w:rsidR="009A66B6" w:rsidRPr="00944D33">
              <w:rPr>
                <w:rFonts w:asciiTheme="minorHAnsi" w:hAnsiTheme="minorHAnsi"/>
                <w:color w:val="auto"/>
                <w:lang w:val="hr-BA"/>
              </w:rPr>
              <w:br/>
            </w:r>
          </w:p>
        </w:tc>
      </w:tr>
    </w:tbl>
    <w:p w:rsidR="006E5A3A" w:rsidRPr="00944D33" w:rsidRDefault="006E5A3A" w:rsidP="00295378">
      <w:pPr>
        <w:pStyle w:val="GridTable31"/>
        <w:rPr>
          <w:color w:val="auto"/>
        </w:rPr>
      </w:pPr>
      <w:r w:rsidRPr="00944D33">
        <w:rPr>
          <w:color w:val="auto"/>
        </w:rPr>
        <w:t>Sadržaj</w:t>
      </w:r>
    </w:p>
    <w:p w:rsidR="00153224" w:rsidRPr="00944D33" w:rsidRDefault="00153224" w:rsidP="00153224">
      <w:pPr>
        <w:rPr>
          <w:rFonts w:asciiTheme="minorHAnsi" w:hAnsiTheme="minorHAnsi"/>
          <w:color w:val="auto"/>
          <w:lang w:val="hr-BA"/>
        </w:rPr>
      </w:pPr>
    </w:p>
    <w:p w:rsidR="006E5A3A" w:rsidRPr="00944D33" w:rsidRDefault="006E5A3A" w:rsidP="006E5A3A">
      <w:pPr>
        <w:rPr>
          <w:rFonts w:asciiTheme="minorHAnsi" w:hAnsiTheme="minorHAnsi"/>
          <w:color w:val="auto"/>
          <w:lang w:val="hr-BA"/>
        </w:rPr>
      </w:pPr>
    </w:p>
    <w:p w:rsidR="004127F7" w:rsidRPr="00944D33" w:rsidRDefault="00C01752">
      <w:pPr>
        <w:pStyle w:val="TOC1"/>
        <w:tabs>
          <w:tab w:val="right" w:leader="dot" w:pos="10070"/>
        </w:tabs>
        <w:rPr>
          <w:rFonts w:asciiTheme="minorHAnsi" w:hAnsiTheme="minorHAnsi"/>
          <w:b w:val="0"/>
          <w:color w:val="auto"/>
          <w:lang w:val="hr-BA"/>
        </w:rPr>
      </w:pPr>
      <w:r w:rsidRPr="00944D33">
        <w:rPr>
          <w:rFonts w:asciiTheme="minorHAnsi" w:hAnsiTheme="minorHAnsi"/>
          <w:b w:val="0"/>
          <w:color w:val="auto"/>
          <w:lang w:val="hr-BA"/>
        </w:rPr>
        <w:fldChar w:fldCharType="begin"/>
      </w:r>
      <w:r w:rsidR="00153224" w:rsidRPr="00944D33">
        <w:rPr>
          <w:rFonts w:asciiTheme="minorHAnsi" w:hAnsiTheme="minorHAnsi"/>
          <w:b w:val="0"/>
          <w:color w:val="auto"/>
          <w:lang w:val="hr-BA"/>
        </w:rPr>
        <w:instrText xml:space="preserve"> TOC \o "1-2" </w:instrText>
      </w:r>
      <w:r w:rsidRPr="00944D33">
        <w:rPr>
          <w:rFonts w:asciiTheme="minorHAnsi" w:hAnsiTheme="minorHAnsi"/>
          <w:b w:val="0"/>
          <w:color w:val="auto"/>
          <w:lang w:val="hr-BA"/>
        </w:rPr>
        <w:fldChar w:fldCharType="separate"/>
      </w:r>
    </w:p>
    <w:p w:rsidR="004127F7" w:rsidRPr="00944D33" w:rsidRDefault="004127F7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  <w:lang w:val="hr-BA" w:eastAsia="en-GB"/>
        </w:rPr>
      </w:pPr>
      <w:r w:rsidRPr="00944D33">
        <w:rPr>
          <w:color w:val="auto"/>
          <w:lang w:val="hr-BA"/>
        </w:rPr>
        <w:t>Uvodna riječ glavnog federalnog tužioca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_Toc502136564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3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  <w:lang w:val="hr-BA" w:eastAsia="en-GB"/>
        </w:rPr>
      </w:pPr>
      <w:r w:rsidRPr="00944D33">
        <w:rPr>
          <w:color w:val="auto"/>
          <w:lang w:val="hr-BA"/>
        </w:rPr>
        <w:t>Misija i Vizija za tužilaštva u Federaciji BiH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_Toc502136565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5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2"/>
        <w:tabs>
          <w:tab w:val="right" w:leader="dot" w:pos="10070"/>
        </w:tabs>
        <w:rPr>
          <w:rFonts w:eastAsiaTheme="minorEastAsia" w:cstheme="minorBidi"/>
          <w:color w:val="auto"/>
          <w:spacing w:val="0"/>
          <w:lang w:val="hr-BA" w:eastAsia="en-GB"/>
        </w:rPr>
      </w:pPr>
      <w:r w:rsidRPr="00944D33">
        <w:rPr>
          <w:color w:val="auto"/>
          <w:lang w:val="hr-BA"/>
        </w:rPr>
        <w:t>Misija za tužilaštva u Federaciji BiH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_Toc502136566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5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2"/>
        <w:tabs>
          <w:tab w:val="right" w:leader="dot" w:pos="10070"/>
        </w:tabs>
        <w:rPr>
          <w:rFonts w:eastAsiaTheme="minorEastAsia" w:cstheme="minorBidi"/>
          <w:color w:val="auto"/>
          <w:spacing w:val="0"/>
          <w:lang w:val="hr-BA" w:eastAsia="en-GB"/>
        </w:rPr>
      </w:pPr>
      <w:r w:rsidRPr="00944D33">
        <w:rPr>
          <w:color w:val="auto"/>
          <w:lang w:val="hr-BA"/>
        </w:rPr>
        <w:t>Vizija za tužilaštva u Federaciji BiH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_Toc502136567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5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  <w:lang w:val="hr-BA" w:eastAsia="en-GB"/>
        </w:rPr>
      </w:pPr>
      <w:r w:rsidRPr="00944D33">
        <w:rPr>
          <w:color w:val="auto"/>
          <w:lang w:val="hr-BA"/>
        </w:rPr>
        <w:t>Opis tužilačkog sistema Federacije BiH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_Toc502136568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6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  <w:lang w:val="hr-BA" w:eastAsia="en-GB"/>
        </w:rPr>
      </w:pPr>
      <w:r w:rsidRPr="00944D33">
        <w:rPr>
          <w:color w:val="auto"/>
          <w:lang w:val="hr-BA"/>
        </w:rPr>
        <w:t>Zakoni i strateški dokumenti od značaja u</w:t>
      </w:r>
      <w:r w:rsidR="0092626D">
        <w:rPr>
          <w:color w:val="auto"/>
          <w:lang w:val="hr-BA"/>
        </w:rPr>
        <w:t xml:space="preserve"> radu tužilaštava za period 2019 – 2021</w:t>
      </w:r>
      <w:r w:rsidRPr="00944D33">
        <w:rPr>
          <w:color w:val="auto"/>
          <w:lang w:val="hr-BA"/>
        </w:rPr>
        <w:t>.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_Toc502136569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8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  <w:lang w:val="hr-BA" w:eastAsia="en-GB"/>
        </w:rPr>
      </w:pPr>
      <w:r w:rsidRPr="00944D33">
        <w:rPr>
          <w:color w:val="auto"/>
          <w:lang w:val="hr-BA"/>
        </w:rPr>
        <w:t>Pregled real</w:t>
      </w:r>
      <w:r w:rsidR="0092626D">
        <w:rPr>
          <w:color w:val="auto"/>
          <w:lang w:val="hr-BA"/>
        </w:rPr>
        <w:t>izacije Strateškog okvira u 2018</w:t>
      </w:r>
      <w:r w:rsidRPr="00944D33">
        <w:rPr>
          <w:color w:val="auto"/>
          <w:lang w:val="hr-BA"/>
        </w:rPr>
        <w:t>. godini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_Toc502136570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10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2"/>
        <w:tabs>
          <w:tab w:val="right" w:leader="dot" w:pos="10070"/>
        </w:tabs>
        <w:rPr>
          <w:rFonts w:eastAsiaTheme="minorEastAsia" w:cstheme="minorBidi"/>
          <w:color w:val="auto"/>
          <w:spacing w:val="0"/>
          <w:lang w:val="hr-BA" w:eastAsia="en-GB"/>
        </w:rPr>
      </w:pPr>
      <w:r w:rsidRPr="00944D33">
        <w:rPr>
          <w:color w:val="auto"/>
          <w:lang w:val="hr-BA"/>
        </w:rPr>
        <w:t>Realizacija strateškog cilja 1: Smanjiti broj starih predmeta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_Toc502136571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12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2"/>
        <w:tabs>
          <w:tab w:val="right" w:leader="dot" w:pos="10070"/>
        </w:tabs>
        <w:rPr>
          <w:rFonts w:eastAsiaTheme="minorEastAsia" w:cstheme="minorBidi"/>
          <w:color w:val="auto"/>
          <w:spacing w:val="0"/>
          <w:lang w:val="hr-BA" w:eastAsia="en-GB"/>
        </w:rPr>
      </w:pPr>
      <w:r w:rsidRPr="00944D33">
        <w:rPr>
          <w:color w:val="auto"/>
          <w:lang w:val="hr-BA"/>
        </w:rPr>
        <w:t>Realizacija strateškog cilja 2: Povećati efikasnost i kvalitet u radu tužilaštava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_Toc502136572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14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2"/>
        <w:tabs>
          <w:tab w:val="right" w:leader="dot" w:pos="10070"/>
        </w:tabs>
        <w:rPr>
          <w:rFonts w:eastAsiaTheme="minorEastAsia" w:cstheme="minorBidi"/>
          <w:color w:val="auto"/>
          <w:spacing w:val="0"/>
          <w:lang w:val="hr-BA" w:eastAsia="en-GB"/>
        </w:rPr>
      </w:pPr>
      <w:r w:rsidRPr="00944D33">
        <w:rPr>
          <w:color w:val="auto"/>
          <w:lang w:val="hr-BA"/>
        </w:rPr>
        <w:t>Realizacija strateškog cilja 3: Povećati transparentnosti i povjerenje građana u rad tužilaštava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_Toc502136573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20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  <w:lang w:val="hr-BA" w:eastAsia="en-GB"/>
        </w:rPr>
      </w:pPr>
      <w:r w:rsidRPr="00944D33">
        <w:rPr>
          <w:color w:val="auto"/>
          <w:lang w:val="hr-BA"/>
        </w:rPr>
        <w:t>Strateški prioriteti za per</w:t>
      </w:r>
      <w:r w:rsidR="0092626D">
        <w:rPr>
          <w:color w:val="auto"/>
          <w:lang w:val="hr-BA"/>
        </w:rPr>
        <w:t>iod 2019 – 2021</w:t>
      </w:r>
      <w:r w:rsidRPr="00944D33">
        <w:rPr>
          <w:color w:val="auto"/>
          <w:lang w:val="hr-BA"/>
        </w:rPr>
        <w:t>.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_Toc502136574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21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2"/>
        <w:tabs>
          <w:tab w:val="right" w:leader="dot" w:pos="10070"/>
        </w:tabs>
        <w:rPr>
          <w:rFonts w:eastAsiaTheme="minorEastAsia" w:cstheme="minorBidi"/>
          <w:color w:val="auto"/>
          <w:spacing w:val="0"/>
          <w:lang w:val="hr-BA" w:eastAsia="en-GB"/>
        </w:rPr>
      </w:pPr>
      <w:r w:rsidRPr="00944D33">
        <w:rPr>
          <w:color w:val="auto"/>
          <w:lang w:val="hr-BA"/>
        </w:rPr>
        <w:t>Strateški cilj 1: Smanjiti broj starih predmeta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_Toc502136575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22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2"/>
        <w:tabs>
          <w:tab w:val="right" w:leader="dot" w:pos="10070"/>
        </w:tabs>
        <w:rPr>
          <w:rFonts w:eastAsiaTheme="minorEastAsia" w:cstheme="minorBidi"/>
          <w:color w:val="auto"/>
          <w:spacing w:val="0"/>
          <w:lang w:val="hr-BA" w:eastAsia="en-GB"/>
        </w:rPr>
      </w:pPr>
      <w:r w:rsidRPr="00944D33">
        <w:rPr>
          <w:color w:val="auto"/>
          <w:lang w:val="hr-BA"/>
        </w:rPr>
        <w:t>Strateški cilj 2: Povećati efikasnost i kvalitet rada tužilaštava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_Toc502136576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23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2"/>
        <w:tabs>
          <w:tab w:val="right" w:leader="dot" w:pos="10070"/>
        </w:tabs>
        <w:rPr>
          <w:rFonts w:eastAsiaTheme="minorEastAsia" w:cstheme="minorBidi"/>
          <w:color w:val="auto"/>
          <w:spacing w:val="0"/>
          <w:lang w:val="hr-BA" w:eastAsia="en-GB"/>
        </w:rPr>
      </w:pPr>
      <w:r w:rsidRPr="00944D33">
        <w:rPr>
          <w:color w:val="auto"/>
          <w:lang w:val="hr-BA"/>
        </w:rPr>
        <w:t>Strateški cilj 3: Povećati transparentnost i povjerenje građana u rad tužilaštava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_Toc502136577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26</w:t>
      </w:r>
      <w:r w:rsidRPr="00944D33">
        <w:rPr>
          <w:lang w:val="hr-BA"/>
        </w:rPr>
        <w:fldChar w:fldCharType="end"/>
      </w:r>
    </w:p>
    <w:p w:rsidR="004127F7" w:rsidRPr="00944D33" w:rsidRDefault="004127F7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b w:val="0"/>
          <w:color w:val="auto"/>
          <w:spacing w:val="0"/>
          <w:sz w:val="22"/>
          <w:szCs w:val="22"/>
          <w:lang w:val="hr-BA" w:eastAsia="en-GB"/>
        </w:rPr>
      </w:pPr>
      <w:r w:rsidRPr="00944D33">
        <w:rPr>
          <w:color w:val="auto"/>
          <w:lang w:val="hr-BA"/>
        </w:rPr>
        <w:t>Realizacija Strateškog okvira za tužilaštva u Federaciji BiH</w:t>
      </w:r>
      <w:r w:rsidRPr="00944D33">
        <w:rPr>
          <w:lang w:val="hr-BA"/>
        </w:rPr>
        <w:tab/>
      </w:r>
      <w:r w:rsidRPr="00944D33">
        <w:rPr>
          <w:lang w:val="hr-BA"/>
        </w:rPr>
        <w:fldChar w:fldCharType="begin"/>
      </w:r>
      <w:r w:rsidRPr="00944D33">
        <w:rPr>
          <w:lang w:val="hr-BA"/>
        </w:rPr>
        <w:instrText xml:space="preserve"> PAGEREF _Toc502136578 \h </w:instrText>
      </w:r>
      <w:r w:rsidRPr="00944D33">
        <w:rPr>
          <w:lang w:val="hr-BA"/>
        </w:rPr>
      </w:r>
      <w:r w:rsidRPr="00944D33">
        <w:rPr>
          <w:lang w:val="hr-BA"/>
        </w:rPr>
        <w:fldChar w:fldCharType="separate"/>
      </w:r>
      <w:r w:rsidRPr="00944D33">
        <w:rPr>
          <w:lang w:val="hr-BA"/>
        </w:rPr>
        <w:t>27</w:t>
      </w:r>
      <w:r w:rsidRPr="00944D33">
        <w:rPr>
          <w:lang w:val="hr-BA"/>
        </w:rPr>
        <w:fldChar w:fldCharType="end"/>
      </w:r>
    </w:p>
    <w:p w:rsidR="006E5A3A" w:rsidRPr="00944D33" w:rsidRDefault="00C01752">
      <w:pPr>
        <w:rPr>
          <w:rFonts w:asciiTheme="minorHAnsi" w:hAnsiTheme="minorHAnsi"/>
          <w:color w:val="auto"/>
          <w:lang w:val="hr-BA"/>
        </w:rPr>
      </w:pPr>
      <w:r w:rsidRPr="00944D33">
        <w:rPr>
          <w:rFonts w:asciiTheme="minorHAnsi" w:hAnsiTheme="minorHAnsi"/>
          <w:b/>
          <w:color w:val="auto"/>
          <w:sz w:val="24"/>
          <w:szCs w:val="24"/>
          <w:lang w:val="hr-BA"/>
        </w:rPr>
        <w:fldChar w:fldCharType="end"/>
      </w:r>
    </w:p>
    <w:p w:rsidR="000E0696" w:rsidRPr="00944D33" w:rsidRDefault="000E0696" w:rsidP="000E0696">
      <w:pPr>
        <w:pStyle w:val="BodyText"/>
        <w:tabs>
          <w:tab w:val="left" w:pos="2980"/>
        </w:tabs>
        <w:spacing w:after="120"/>
        <w:rPr>
          <w:rFonts w:asciiTheme="minorHAnsi" w:hAnsiTheme="minorHAnsi"/>
          <w:color w:val="auto"/>
          <w:sz w:val="24"/>
          <w:szCs w:val="24"/>
          <w:lang w:val="hr-BA"/>
        </w:rPr>
      </w:pPr>
    </w:p>
    <w:p w:rsidR="000E0696" w:rsidRPr="00944D33" w:rsidRDefault="000E0696" w:rsidP="000E0696">
      <w:pPr>
        <w:pStyle w:val="BodyText"/>
        <w:tabs>
          <w:tab w:val="left" w:pos="2980"/>
        </w:tabs>
        <w:spacing w:after="120"/>
        <w:rPr>
          <w:rFonts w:asciiTheme="minorHAnsi" w:hAnsiTheme="minorHAnsi"/>
          <w:color w:val="auto"/>
          <w:sz w:val="24"/>
          <w:szCs w:val="24"/>
          <w:lang w:val="hr-BA"/>
        </w:rPr>
      </w:pPr>
    </w:p>
    <w:p w:rsidR="0042490A" w:rsidRPr="00944D33" w:rsidRDefault="00153224" w:rsidP="00451C7E">
      <w:pPr>
        <w:pStyle w:val="Heading1"/>
        <w:spacing w:before="0"/>
        <w:rPr>
          <w:color w:val="auto"/>
        </w:rPr>
      </w:pPr>
      <w:bookmarkStart w:id="0" w:name="_Toc442208238"/>
      <w:bookmarkStart w:id="1" w:name="_Toc442208287"/>
      <w:bookmarkStart w:id="2" w:name="_Toc442214992"/>
      <w:r w:rsidRPr="00944D33">
        <w:rPr>
          <w:color w:val="auto"/>
        </w:rPr>
        <w:br w:type="page"/>
      </w:r>
      <w:bookmarkStart w:id="3" w:name="_Toc502136564"/>
      <w:r w:rsidR="00E57545" w:rsidRPr="00944D33">
        <w:rPr>
          <w:color w:val="auto"/>
        </w:rPr>
        <w:t>Uvodna riječ glavnog f</w:t>
      </w:r>
      <w:r w:rsidR="0042490A" w:rsidRPr="00944D33">
        <w:rPr>
          <w:color w:val="auto"/>
        </w:rPr>
        <w:t>ederalnog tužioca</w:t>
      </w:r>
      <w:bookmarkEnd w:id="0"/>
      <w:bookmarkEnd w:id="1"/>
      <w:bookmarkEnd w:id="2"/>
      <w:bookmarkEnd w:id="3"/>
    </w:p>
    <w:p w:rsidR="000052AD" w:rsidRPr="00944D33" w:rsidRDefault="000052AD" w:rsidP="000052AD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Tužilaštva u Federaciji Bosne i Hercegovine (Federacija BiH), kao dijela 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>pravosudnog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sistema Bosne i Hercegovine (BiH), posvećena su procesu provođenja kontinuiranih reformi u pravosudnom sistemu Bosne i Hercegovine. BiH je u okviru reformskih procesa preuzela brojne obaveze, uključujući i one koje se odnose na osnaživanje vladavine prava. Tužilaštva u Federaciji BiH su svakako ključni segmenti u jačanju vladavine prava. Kako bi </w:t>
      </w:r>
      <w:r w:rsidR="00643902" w:rsidRPr="00944D33">
        <w:rPr>
          <w:rFonts w:asciiTheme="minorHAnsi" w:hAnsiTheme="minorHAnsi"/>
          <w:color w:val="auto"/>
          <w:spacing w:val="0"/>
          <w:sz w:val="24"/>
          <w:lang w:val="hr-BA"/>
        </w:rPr>
        <w:t>ostvarili svoju ulogu u reformskim procesima i odgovorili na sve izazove sa kojima se tužilaštva u Fede</w:t>
      </w:r>
      <w:r w:rsidR="0092626D">
        <w:rPr>
          <w:rFonts w:asciiTheme="minorHAnsi" w:hAnsiTheme="minorHAnsi"/>
          <w:color w:val="auto"/>
          <w:spacing w:val="0"/>
          <w:sz w:val="24"/>
          <w:lang w:val="hr-BA"/>
        </w:rPr>
        <w:t>raciji BiH suočavaju, tokom 2018</w:t>
      </w:r>
      <w:r w:rsidR="00643902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. godine glavni federalni tužilac i glavni kantonalni tužioci su donijeli i sproveli Strateški okvir za period </w:t>
      </w:r>
      <w:r w:rsidR="0092626D">
        <w:rPr>
          <w:rFonts w:asciiTheme="minorHAnsi" w:hAnsiTheme="minorHAnsi"/>
          <w:color w:val="auto"/>
          <w:spacing w:val="0"/>
          <w:sz w:val="24"/>
          <w:lang w:val="hr-BA"/>
        </w:rPr>
        <w:t>2018. – 2020 godina</w:t>
      </w:r>
      <w:r w:rsidR="005033F5" w:rsidRPr="00944D33">
        <w:rPr>
          <w:rFonts w:asciiTheme="minorHAnsi" w:hAnsiTheme="minorHAnsi"/>
          <w:color w:val="auto"/>
          <w:spacing w:val="0"/>
          <w:sz w:val="24"/>
          <w:lang w:val="hr-BA"/>
        </w:rPr>
        <w:t>.</w:t>
      </w:r>
      <w:r w:rsidR="00643902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Ovaj strateški dokument, koji je nastao kao nadogradnja postojećih procesa strateškog i operativnog planiranja tužilaštava u F</w:t>
      </w:r>
      <w:r w:rsidR="00866373" w:rsidRPr="00944D33">
        <w:rPr>
          <w:rFonts w:asciiTheme="minorHAnsi" w:hAnsiTheme="minorHAnsi"/>
          <w:color w:val="auto"/>
          <w:spacing w:val="0"/>
          <w:sz w:val="24"/>
          <w:lang w:val="hr-BA"/>
        </w:rPr>
        <w:t>ederaciji BiH, je u sebi integri</w:t>
      </w:r>
      <w:r w:rsidR="00643902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sao sve ključne strateške </w:t>
      </w:r>
      <w:r w:rsidR="0092626D">
        <w:rPr>
          <w:rFonts w:asciiTheme="minorHAnsi" w:hAnsiTheme="minorHAnsi"/>
          <w:color w:val="auto"/>
          <w:spacing w:val="0"/>
          <w:sz w:val="24"/>
          <w:lang w:val="hr-BA"/>
        </w:rPr>
        <w:t>dokumente pravosudnog sistema, k</w:t>
      </w:r>
      <w:r w:rsidR="00643902" w:rsidRPr="00944D33">
        <w:rPr>
          <w:rFonts w:asciiTheme="minorHAnsi" w:hAnsiTheme="minorHAnsi"/>
          <w:color w:val="auto"/>
          <w:spacing w:val="0"/>
          <w:sz w:val="24"/>
          <w:lang w:val="hr-BA"/>
        </w:rPr>
        <w:t>ao odraza ključnim pitanjima sa kojima se sva tužilaštva u Federaciji BiH suočava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>ju</w:t>
      </w:r>
      <w:r w:rsidR="00643902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i ponudio strateški pravac djelovanja sa ciljem </w:t>
      </w:r>
      <w:r w:rsidR="00866373" w:rsidRPr="00944D33">
        <w:rPr>
          <w:rFonts w:asciiTheme="minorHAnsi" w:hAnsiTheme="minorHAnsi"/>
          <w:color w:val="auto"/>
          <w:spacing w:val="0"/>
          <w:sz w:val="24"/>
          <w:lang w:val="hr-BA"/>
        </w:rPr>
        <w:t>daljnjeg</w:t>
      </w:r>
      <w:r w:rsidR="00643902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unaprjeđenja tužilaštava i jačanja njihove važne uloge u pravosudnom sistemu u BiH. </w:t>
      </w:r>
    </w:p>
    <w:p w:rsidR="00A61A5A" w:rsidRPr="00944D33" w:rsidRDefault="00A61A5A" w:rsidP="000052AD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</w:p>
    <w:p w:rsidR="00643902" w:rsidRPr="00944D33" w:rsidRDefault="00A61A5A" w:rsidP="000052AD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Strateškim okvirom </w:t>
      </w:r>
      <w:r w:rsidR="00775BC2" w:rsidRPr="00944D33">
        <w:rPr>
          <w:rFonts w:asciiTheme="minorHAnsi" w:hAnsiTheme="minorHAnsi"/>
          <w:color w:val="auto"/>
          <w:spacing w:val="0"/>
          <w:sz w:val="24"/>
          <w:lang w:val="hr-BA"/>
        </w:rPr>
        <w:t>su definisani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</w:t>
      </w:r>
      <w:r w:rsidR="00866373" w:rsidRPr="00944D33">
        <w:rPr>
          <w:rFonts w:asciiTheme="minorHAnsi" w:hAnsiTheme="minorHAnsi"/>
          <w:color w:val="auto"/>
          <w:spacing w:val="0"/>
          <w:sz w:val="24"/>
          <w:lang w:val="hr-BA"/>
        </w:rPr>
        <w:t>misija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i vizija za sva tužilaštva u Federaciji BiH</w:t>
      </w:r>
      <w:r w:rsidR="00775BC2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. Utvrđeni su strateški </w:t>
      </w:r>
      <w:r w:rsidR="00866373" w:rsidRPr="00944D33">
        <w:rPr>
          <w:rFonts w:asciiTheme="minorHAnsi" w:hAnsiTheme="minorHAnsi"/>
          <w:color w:val="auto"/>
          <w:spacing w:val="0"/>
          <w:sz w:val="24"/>
          <w:lang w:val="hr-BA"/>
        </w:rPr>
        <w:t>ciljevi</w:t>
      </w:r>
      <w:r w:rsidR="00775BC2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na osnovu ključnih strateških pitanja i u okviru svakih od ciljeva definisani su ciljani rezultati –</w:t>
      </w:r>
      <w:r w:rsidR="00E65133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odnosno učinak koja</w:t>
      </w:r>
      <w:r w:rsidR="00775BC2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tužilaštva u Federaciji BiH žele da kolektivno ostvare u svom radu. </w:t>
      </w:r>
    </w:p>
    <w:p w:rsidR="00E65133" w:rsidRPr="00944D33" w:rsidRDefault="00E65133" w:rsidP="000052AD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</w:p>
    <w:p w:rsidR="00A61A5A" w:rsidRPr="00944D33" w:rsidRDefault="00643902" w:rsidP="000052AD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Ovaj dokument je nadograđeni Strateški okvir koji je nastao tako što su se uzeli u obzir </w:t>
      </w:r>
      <w:r w:rsidR="000E3930" w:rsidRPr="00944D33">
        <w:rPr>
          <w:rFonts w:asciiTheme="minorHAnsi" w:hAnsiTheme="minorHAnsi"/>
          <w:color w:val="auto"/>
          <w:spacing w:val="0"/>
          <w:sz w:val="24"/>
          <w:lang w:val="hr-BA"/>
        </w:rPr>
        <w:t>rezultati u reali</w:t>
      </w:r>
      <w:r w:rsidR="00F85F6D">
        <w:rPr>
          <w:rFonts w:asciiTheme="minorHAnsi" w:hAnsiTheme="minorHAnsi"/>
          <w:color w:val="auto"/>
          <w:spacing w:val="0"/>
          <w:sz w:val="24"/>
          <w:lang w:val="hr-BA"/>
        </w:rPr>
        <w:t>zaciji ciljanih rezultata u 2018</w:t>
      </w:r>
      <w:r w:rsidR="000E3930" w:rsidRPr="00944D33">
        <w:rPr>
          <w:rFonts w:asciiTheme="minorHAnsi" w:hAnsiTheme="minorHAnsi"/>
          <w:color w:val="auto"/>
          <w:spacing w:val="0"/>
          <w:sz w:val="24"/>
          <w:lang w:val="hr-BA"/>
        </w:rPr>
        <w:t>. godini na nivou svih tužilaštava u Federaciji. Definisani su ciljani rezultati za novi trogodišnji okv</w:t>
      </w:r>
      <w:r w:rsidR="00F85F6D">
        <w:rPr>
          <w:rFonts w:asciiTheme="minorHAnsi" w:hAnsiTheme="minorHAnsi"/>
          <w:color w:val="auto"/>
          <w:spacing w:val="0"/>
          <w:sz w:val="24"/>
          <w:lang w:val="hr-BA"/>
        </w:rPr>
        <w:t>ir za period</w:t>
      </w:r>
      <w:r w:rsidR="00A61A5A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</w:t>
      </w:r>
      <w:r w:rsidR="00F85F6D">
        <w:rPr>
          <w:rFonts w:asciiTheme="minorHAnsi" w:hAnsiTheme="minorHAnsi"/>
          <w:color w:val="auto"/>
          <w:spacing w:val="0"/>
          <w:sz w:val="24"/>
          <w:lang w:val="hr-BA"/>
        </w:rPr>
        <w:t>2019. – 2021</w:t>
      </w:r>
      <w:r w:rsidR="005033F5" w:rsidRPr="00944D33">
        <w:rPr>
          <w:rFonts w:asciiTheme="minorHAnsi" w:hAnsiTheme="minorHAnsi"/>
          <w:color w:val="auto"/>
          <w:spacing w:val="0"/>
          <w:sz w:val="24"/>
          <w:lang w:val="hr-BA"/>
        </w:rPr>
        <w:t>.</w:t>
      </w:r>
      <w:r w:rsidR="00994F55">
        <w:rPr>
          <w:rFonts w:asciiTheme="minorHAnsi" w:hAnsiTheme="minorHAnsi"/>
          <w:color w:val="auto"/>
          <w:spacing w:val="0"/>
          <w:sz w:val="24"/>
          <w:lang w:val="hr-BA"/>
        </w:rPr>
        <w:t xml:space="preserve"> g</w:t>
      </w:r>
      <w:r w:rsidR="00F85F6D">
        <w:rPr>
          <w:rFonts w:asciiTheme="minorHAnsi" w:hAnsiTheme="minorHAnsi"/>
          <w:color w:val="auto"/>
          <w:spacing w:val="0"/>
          <w:sz w:val="24"/>
          <w:lang w:val="hr-BA"/>
        </w:rPr>
        <w:t>od</w:t>
      </w:r>
      <w:r w:rsidR="00994F55">
        <w:rPr>
          <w:rFonts w:asciiTheme="minorHAnsi" w:hAnsiTheme="minorHAnsi"/>
          <w:color w:val="auto"/>
          <w:spacing w:val="0"/>
          <w:sz w:val="24"/>
          <w:lang w:val="hr-BA"/>
        </w:rPr>
        <w:t>i</w:t>
      </w:r>
      <w:r w:rsidR="00F85F6D">
        <w:rPr>
          <w:rFonts w:asciiTheme="minorHAnsi" w:hAnsiTheme="minorHAnsi"/>
          <w:color w:val="auto"/>
          <w:spacing w:val="0"/>
          <w:sz w:val="24"/>
          <w:lang w:val="hr-BA"/>
        </w:rPr>
        <w:t>na.</w:t>
      </w:r>
      <w:r w:rsidR="00A61A5A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Također, su ponuđeni i novi ciljani rezultati koji će biti </w:t>
      </w:r>
      <w:r w:rsidR="00866373" w:rsidRPr="00944D33">
        <w:rPr>
          <w:rFonts w:asciiTheme="minorHAnsi" w:hAnsiTheme="minorHAnsi"/>
          <w:color w:val="auto"/>
          <w:spacing w:val="0"/>
          <w:sz w:val="24"/>
          <w:lang w:val="hr-BA"/>
        </w:rPr>
        <w:t>preciznije</w:t>
      </w:r>
      <w:r w:rsidR="00A61A5A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definisani nakon što se izvrši detaljnija analiza trendova. </w:t>
      </w:r>
      <w:r w:rsidR="00E65133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Koncem 2016. je </w:t>
      </w:r>
      <w:r w:rsidR="00866373" w:rsidRPr="00944D33">
        <w:rPr>
          <w:rFonts w:asciiTheme="minorHAnsi" w:hAnsiTheme="minorHAnsi"/>
          <w:color w:val="auto"/>
          <w:spacing w:val="0"/>
          <w:sz w:val="24"/>
          <w:lang w:val="hr-BA"/>
        </w:rPr>
        <w:t>doneseno</w:t>
      </w:r>
      <w:r w:rsidR="00E65133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novo Upu</w:t>
      </w:r>
      <w:r w:rsidR="00866373" w:rsidRPr="00944D33">
        <w:rPr>
          <w:rFonts w:asciiTheme="minorHAnsi" w:hAnsiTheme="minorHAnsi"/>
          <w:color w:val="auto"/>
          <w:spacing w:val="0"/>
          <w:sz w:val="24"/>
          <w:lang w:val="hr-BA"/>
        </w:rPr>
        <w:t>t</w:t>
      </w:r>
      <w:r w:rsidR="00E65133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stvo za primjenu Pravilnika o orijentacionim mjerilima za rad tužilaca u tužilaštvima u BiH čime je proces izrade Strateškog okvira postalo obavezujuće za sva tužilaštva. Ujedno je utvrđena obaveza da sva tužilaštva u svojim godišnjim planovima rada se reflektiraju na ciljane rezultat utvrđene Strateškim okvirom 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>i definišu aktivnosti koji do</w:t>
      </w:r>
      <w:r w:rsidR="00FE3FFB" w:rsidRPr="00944D33">
        <w:rPr>
          <w:rFonts w:asciiTheme="minorHAnsi" w:hAnsiTheme="minorHAnsi"/>
          <w:color w:val="auto"/>
          <w:spacing w:val="0"/>
          <w:sz w:val="24"/>
          <w:lang w:val="hr-BA"/>
        </w:rPr>
        <w:t>p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>r</w:t>
      </w:r>
      <w:r w:rsidR="00FE3FFB" w:rsidRPr="00944D33">
        <w:rPr>
          <w:rFonts w:asciiTheme="minorHAnsi" w:hAnsiTheme="minorHAnsi"/>
          <w:color w:val="auto"/>
          <w:spacing w:val="0"/>
          <w:sz w:val="24"/>
          <w:lang w:val="hr-BA"/>
        </w:rPr>
        <w:t>inose realiz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>a</w:t>
      </w:r>
      <w:r w:rsidR="00FE3FFB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ciji ciljanih rezultata za dato tužilaštvo. </w:t>
      </w:r>
    </w:p>
    <w:p w:rsidR="00A61A5A" w:rsidRPr="00944D33" w:rsidRDefault="00F85F6D" w:rsidP="000052AD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>
        <w:rPr>
          <w:rFonts w:asciiTheme="minorHAnsi" w:hAnsiTheme="minorHAnsi"/>
          <w:color w:val="auto"/>
          <w:spacing w:val="0"/>
          <w:sz w:val="24"/>
          <w:lang w:val="hr-BA"/>
        </w:rPr>
        <w:t>Pored toga tokom 2018. Godine je došlo do izmjene Pravilnika o orijentacionim mjerilima na način da su pomjereni rokovi za izradu godišnjeg plana i godišnjeg izvještaja pojedinačnih tužilaštava za 15. februar.</w:t>
      </w:r>
    </w:p>
    <w:p w:rsidR="0042490A" w:rsidRPr="00944D33" w:rsidRDefault="00604781" w:rsidP="0042490A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>Reformski proces, kakav je svakako proces jačanja tužilaštava u Federaciji Bi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>H, je složen i zaht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jevan proces kojeg prate određeni objektivni rizici u njegovoj realizaciji. Kako bi se smanjio uticaj objektivnih rizika u </w:t>
      </w:r>
      <w:r w:rsidR="00866373" w:rsidRPr="00944D33">
        <w:rPr>
          <w:rFonts w:asciiTheme="minorHAnsi" w:hAnsiTheme="minorHAnsi"/>
          <w:color w:val="auto"/>
          <w:spacing w:val="0"/>
          <w:sz w:val="24"/>
          <w:lang w:val="hr-BA"/>
        </w:rPr>
        <w:t>provođenju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tužilačkog strateškog okvira u Federaciji BiH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>,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potrebno je iste u što većoj mjeri minimizirati, iako sami rizici često zavise od djelovanja aktera izvan pravosudnog sistema. Neki od objektivnih rizika koji mogu uticati na uspješnu realizaciju ovog Strateškog okvira su</w:t>
      </w:r>
      <w:r w:rsidR="0042490A" w:rsidRPr="00944D33">
        <w:rPr>
          <w:rFonts w:asciiTheme="minorHAnsi" w:hAnsiTheme="minorHAnsi"/>
          <w:color w:val="auto"/>
          <w:spacing w:val="0"/>
          <w:sz w:val="24"/>
          <w:lang w:val="hr-BA"/>
        </w:rPr>
        <w:t>:</w:t>
      </w:r>
    </w:p>
    <w:p w:rsidR="0042490A" w:rsidRPr="00944D33" w:rsidRDefault="0042490A" w:rsidP="0042490A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</w:p>
    <w:p w:rsidR="00604781" w:rsidRPr="00944D33" w:rsidRDefault="00604781" w:rsidP="00604781">
      <w:pPr>
        <w:numPr>
          <w:ilvl w:val="0"/>
          <w:numId w:val="23"/>
        </w:numPr>
        <w:spacing w:after="200"/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>Nedovoljni kadrovski kapaciteti - nedostatak sredstava za popunjavanje upražnjenih  sistematizovanih tužilačkih pozicija, kao i nedostatak stručnih saradnika, savjetnika, administrativnog osoblja, pripravnika i volontera;</w:t>
      </w:r>
    </w:p>
    <w:p w:rsidR="00604781" w:rsidRPr="00944D33" w:rsidRDefault="00604781" w:rsidP="00604781">
      <w:pPr>
        <w:numPr>
          <w:ilvl w:val="0"/>
          <w:numId w:val="23"/>
        </w:numPr>
        <w:spacing w:after="200"/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>Nedovoljna organizaciona, materijalna i tehnička sredstva za rad kantonalnih tužilaštava i Federalnog tužilaštva FBiH;</w:t>
      </w:r>
    </w:p>
    <w:p w:rsidR="00604781" w:rsidRPr="00944D33" w:rsidRDefault="00604781" w:rsidP="00604781">
      <w:pPr>
        <w:numPr>
          <w:ilvl w:val="0"/>
          <w:numId w:val="23"/>
        </w:numPr>
        <w:spacing w:after="200"/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>Nedovoljni materijalni, tehnički i kadrovski kapaciteti koji su potrebni za uspostavljanje i funkcionisanje Posebnog odjela Federalnog tužilaštva za suzbijanje korupcije, organizovanog i međukantonalnog kriminala;</w:t>
      </w:r>
    </w:p>
    <w:p w:rsidR="00604781" w:rsidRPr="00944D33" w:rsidRDefault="00604781" w:rsidP="00604781">
      <w:pPr>
        <w:numPr>
          <w:ilvl w:val="0"/>
          <w:numId w:val="23"/>
        </w:numPr>
        <w:spacing w:after="200"/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Neadekvatna percepcija javnosti prema radu tužilaštava; </w:t>
      </w:r>
    </w:p>
    <w:p w:rsidR="0042490A" w:rsidRPr="00944D33" w:rsidRDefault="00604781" w:rsidP="00604781">
      <w:pPr>
        <w:numPr>
          <w:ilvl w:val="0"/>
          <w:numId w:val="23"/>
        </w:numPr>
        <w:spacing w:after="200"/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>Nedostatak usmjerenog djelovanja i posvećenosti, kao i nedovoljna obučenost svih aktera u otkrivanju i suzbijanju organizovanog, koruptivnog, privrednog i drugih pojavnih oblika složenog kriminaliteta, i dr.</w:t>
      </w:r>
      <w:r w:rsidR="0042490A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. </w:t>
      </w:r>
    </w:p>
    <w:p w:rsidR="00FE3FFB" w:rsidRPr="00944D33" w:rsidRDefault="00E17C7F" w:rsidP="00FE3FFB">
      <w:pPr>
        <w:jc w:val="both"/>
        <w:rPr>
          <w:rFonts w:asciiTheme="minorHAnsi" w:hAnsiTheme="minorHAnsi"/>
          <w:bCs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Strateški okvir tužilačkog sistema Federacije BiH </w:t>
      </w:r>
      <w:r w:rsidR="00866373" w:rsidRPr="00944D33">
        <w:rPr>
          <w:rFonts w:asciiTheme="minorHAnsi" w:hAnsiTheme="minorHAnsi"/>
          <w:color w:val="auto"/>
          <w:spacing w:val="0"/>
          <w:sz w:val="24"/>
          <w:lang w:val="hr-BA"/>
        </w:rPr>
        <w:t>predstavlja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kontinuirani proces unapređenja učinka i kvaliteta rada koji će omogućiti realizaciju misije i ciljeva strateškog okvira sa općim ciljem jačanja vladavine prava u BiH. Strateški okvir za tužilački sistem Federacije BiH 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za </w:t>
      </w:r>
      <w:r w:rsidR="00866373" w:rsidRPr="00944D33">
        <w:rPr>
          <w:rFonts w:asciiTheme="minorHAnsi" w:hAnsiTheme="minorHAnsi"/>
          <w:color w:val="auto"/>
          <w:spacing w:val="0"/>
          <w:sz w:val="24"/>
          <w:lang w:val="hr-BA"/>
        </w:rPr>
        <w:t>period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</w:t>
      </w:r>
      <w:r w:rsidR="00F85F6D">
        <w:rPr>
          <w:rFonts w:asciiTheme="minorHAnsi" w:hAnsiTheme="minorHAnsi"/>
          <w:color w:val="auto"/>
          <w:spacing w:val="0"/>
          <w:sz w:val="24"/>
          <w:lang w:val="hr-BA"/>
        </w:rPr>
        <w:t>2019 – 2021</w:t>
      </w:r>
      <w:r w:rsidR="005033F5" w:rsidRPr="00944D33">
        <w:rPr>
          <w:rFonts w:asciiTheme="minorHAnsi" w:hAnsiTheme="minorHAnsi"/>
          <w:color w:val="auto"/>
          <w:spacing w:val="0"/>
          <w:sz w:val="24"/>
          <w:lang w:val="hr-BA"/>
        </w:rPr>
        <w:t>.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</w:t>
      </w:r>
      <w:r w:rsidR="00994F55">
        <w:rPr>
          <w:rFonts w:asciiTheme="minorHAnsi" w:hAnsiTheme="minorHAnsi"/>
          <w:color w:val="auto"/>
          <w:spacing w:val="0"/>
          <w:sz w:val="24"/>
          <w:lang w:val="hr-BA"/>
        </w:rPr>
        <w:t>g</w:t>
      </w:r>
      <w:r w:rsidR="00F85F6D">
        <w:rPr>
          <w:rFonts w:asciiTheme="minorHAnsi" w:hAnsiTheme="minorHAnsi"/>
          <w:color w:val="auto"/>
          <w:spacing w:val="0"/>
          <w:sz w:val="24"/>
          <w:lang w:val="hr-BA"/>
        </w:rPr>
        <w:t xml:space="preserve">odine 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je </w:t>
      </w:r>
      <w:r w:rsidR="00FE3FFB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i ovaj put 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>izrađen uz tehničku i stručnu podršku projekta VSTV-a „</w:t>
      </w:r>
      <w:r w:rsidRPr="00944D33">
        <w:rPr>
          <w:rFonts w:asciiTheme="minorHAnsi" w:hAnsiTheme="minorHAnsi"/>
          <w:i/>
          <w:color w:val="auto"/>
          <w:spacing w:val="0"/>
          <w:sz w:val="24"/>
          <w:lang w:val="hr-BA"/>
        </w:rPr>
        <w:t>Jačanje tužilačkih kapaciteta u sistemu krivičnog pravosuđa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>“ i USAID-ovog „</w:t>
      </w:r>
      <w:r w:rsidRPr="00944D33">
        <w:rPr>
          <w:rFonts w:asciiTheme="minorHAnsi" w:hAnsiTheme="minorHAnsi"/>
          <w:i/>
          <w:color w:val="auto"/>
          <w:spacing w:val="0"/>
          <w:sz w:val="24"/>
          <w:lang w:val="hr-BA"/>
        </w:rPr>
        <w:t>Projekta pravosuđa u BiH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>“.</w:t>
      </w:r>
      <w:r w:rsidR="00FE3FFB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Pored pitanja koja su obuhvaćena Strateškim okvirom, rodna ravnopravnost ostaje vrlo bitno pitanje i svi tužioci trebaju da postupaju vodeći računa o rodnoj jednakosti.</w:t>
      </w:r>
    </w:p>
    <w:p w:rsidR="00FE3FFB" w:rsidRPr="00944D33" w:rsidRDefault="00FE3FFB" w:rsidP="00FE3FFB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</w:p>
    <w:p w:rsidR="00FE3FFB" w:rsidRPr="00944D33" w:rsidRDefault="00FE3FFB" w:rsidP="00FE3FFB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Proces izrade i praćenja Strateškog okvira je glavnim tužiocima u Federaciji BiH ponudio nove uvide u ključna pitanja i izazove sa kojima se tužilaštva suočavaju u BiH i ponudio mogućnost zajedničkog sagledavanja i rješavanja 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>tih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pitanja</w:t>
      </w:r>
      <w:r w:rsidR="0007136D"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 i izazova</w:t>
      </w: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.  </w:t>
      </w:r>
    </w:p>
    <w:p w:rsidR="00FE3FFB" w:rsidRPr="00944D33" w:rsidRDefault="00FE3FFB" w:rsidP="00FE3FFB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</w:p>
    <w:p w:rsidR="00FE3FFB" w:rsidRPr="00944D33" w:rsidRDefault="00FE3FFB" w:rsidP="00FE3FFB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lang w:val="hr-BA"/>
        </w:rPr>
        <w:t xml:space="preserve">Ovom prilikom želim da se zahvalim svim glavnim kantonalnim tužilaštvima na njihovom aktivnom radu i doprinosu u izradi i praćenje Strateškog okvira bez kojeg nastavak napora na rješavanju ključnih strateških pitanja za sva tužilaštva u Federaciji BiH ne bi bio moguć. </w:t>
      </w:r>
    </w:p>
    <w:p w:rsidR="00FE3FFB" w:rsidRPr="00944D33" w:rsidRDefault="00FE3FFB" w:rsidP="00853A77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</w:p>
    <w:p w:rsidR="00853A77" w:rsidRPr="00944D33" w:rsidRDefault="00853A77" w:rsidP="00E17C7F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</w:p>
    <w:p w:rsidR="0042490A" w:rsidRPr="00944D33" w:rsidRDefault="0042490A" w:rsidP="0042490A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</w:p>
    <w:p w:rsidR="0042490A" w:rsidRPr="00944D33" w:rsidRDefault="0042490A" w:rsidP="0042490A">
      <w:pPr>
        <w:jc w:val="both"/>
        <w:rPr>
          <w:rFonts w:asciiTheme="minorHAnsi" w:hAnsiTheme="minorHAnsi"/>
          <w:color w:val="auto"/>
          <w:spacing w:val="0"/>
          <w:sz w:val="24"/>
          <w:lang w:val="hr-BA"/>
        </w:rPr>
      </w:pPr>
    </w:p>
    <w:p w:rsidR="0042490A" w:rsidRPr="00944D33" w:rsidRDefault="00F85F6D" w:rsidP="0042490A">
      <w:pPr>
        <w:jc w:val="right"/>
        <w:rPr>
          <w:rFonts w:asciiTheme="minorHAnsi" w:hAnsiTheme="minorHAnsi"/>
          <w:color w:val="auto"/>
          <w:spacing w:val="0"/>
          <w:sz w:val="24"/>
          <w:lang w:val="hr-BA"/>
        </w:rPr>
      </w:pPr>
      <w:r>
        <w:rPr>
          <w:rFonts w:asciiTheme="minorHAnsi" w:hAnsiTheme="minorHAnsi"/>
          <w:color w:val="auto"/>
          <w:spacing w:val="0"/>
          <w:sz w:val="24"/>
          <w:lang w:val="hr-BA"/>
        </w:rPr>
        <w:t>v.d. glavnog federalnog tužitelja</w:t>
      </w:r>
    </w:p>
    <w:p w:rsidR="0042490A" w:rsidRPr="00944D33" w:rsidRDefault="0042490A" w:rsidP="0042490A">
      <w:pPr>
        <w:jc w:val="right"/>
        <w:rPr>
          <w:rFonts w:asciiTheme="minorHAnsi" w:hAnsiTheme="minorHAnsi"/>
          <w:color w:val="auto"/>
          <w:spacing w:val="0"/>
          <w:sz w:val="24"/>
          <w:lang w:val="hr-BA"/>
        </w:rPr>
      </w:pPr>
    </w:p>
    <w:p w:rsidR="0042490A" w:rsidRPr="00944D33" w:rsidRDefault="00F85F6D" w:rsidP="0042490A">
      <w:pPr>
        <w:jc w:val="right"/>
        <w:rPr>
          <w:rFonts w:asciiTheme="minorHAnsi" w:hAnsiTheme="minorHAnsi"/>
          <w:color w:val="auto"/>
          <w:spacing w:val="0"/>
          <w:sz w:val="24"/>
          <w:lang w:val="hr-BA"/>
        </w:rPr>
      </w:pPr>
      <w:r>
        <w:rPr>
          <w:rFonts w:asciiTheme="minorHAnsi" w:hAnsiTheme="minorHAnsi"/>
          <w:color w:val="auto"/>
          <w:spacing w:val="0"/>
          <w:sz w:val="24"/>
          <w:lang w:val="hr-BA"/>
        </w:rPr>
        <w:t>Tihomir Jurko</w:t>
      </w:r>
    </w:p>
    <w:p w:rsidR="00B4399C" w:rsidRPr="00944D33" w:rsidRDefault="00B4399C" w:rsidP="00295378">
      <w:pPr>
        <w:pStyle w:val="Heading1"/>
        <w:rPr>
          <w:color w:val="auto"/>
        </w:rPr>
      </w:pPr>
      <w:bookmarkStart w:id="4" w:name="_Toc442208239"/>
      <w:bookmarkStart w:id="5" w:name="_Toc442208288"/>
      <w:bookmarkStart w:id="6" w:name="_Toc442214993"/>
    </w:p>
    <w:p w:rsidR="001079FF" w:rsidRPr="00944D33" w:rsidRDefault="001079FF" w:rsidP="00295378">
      <w:pPr>
        <w:pStyle w:val="Heading1"/>
        <w:rPr>
          <w:color w:val="auto"/>
        </w:rPr>
      </w:pPr>
      <w:bookmarkStart w:id="7" w:name="_Toc502136565"/>
      <w:r w:rsidRPr="00944D33">
        <w:rPr>
          <w:color w:val="auto"/>
        </w:rPr>
        <w:t xml:space="preserve">Misija i Vizija </w:t>
      </w:r>
      <w:r w:rsidR="00FE3FFB" w:rsidRPr="00944D33">
        <w:rPr>
          <w:color w:val="auto"/>
        </w:rPr>
        <w:t>za tužilaštva u Federaciji</w:t>
      </w:r>
      <w:r w:rsidRPr="00944D33">
        <w:rPr>
          <w:color w:val="auto"/>
        </w:rPr>
        <w:t xml:space="preserve"> BiH</w:t>
      </w:r>
      <w:bookmarkEnd w:id="4"/>
      <w:bookmarkEnd w:id="5"/>
      <w:bookmarkEnd w:id="6"/>
      <w:bookmarkEnd w:id="7"/>
    </w:p>
    <w:p w:rsidR="00BA60C7" w:rsidRPr="00944D33" w:rsidRDefault="00BA60C7" w:rsidP="00BA60C7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bookmarkStart w:id="8" w:name="_Toc313866417"/>
      <w:bookmarkStart w:id="9" w:name="_Toc313882145"/>
      <w:bookmarkStart w:id="10" w:name="_Toc442208240"/>
      <w:bookmarkStart w:id="11" w:name="_Toc442208289"/>
      <w:bookmarkStart w:id="12" w:name="_Toc442211671"/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Temeljno određenje u realizaciji strateškog okvira čine izjave o misiji i viziji kojima se uspostavljaju osnovni principi na kojima se temelji način rada tužilaštava u Federaciji BiH i ostvarivanje njihove svrhe.</w:t>
      </w:r>
    </w:p>
    <w:p w:rsidR="001079FF" w:rsidRPr="00944D33" w:rsidRDefault="00853A77" w:rsidP="001079FF">
      <w:pPr>
        <w:pStyle w:val="Heading2"/>
        <w:rPr>
          <w:rFonts w:asciiTheme="minorHAnsi" w:hAnsiTheme="minorHAnsi"/>
          <w:color w:val="auto"/>
          <w:lang w:val="hr-BA"/>
        </w:rPr>
      </w:pPr>
      <w:bookmarkStart w:id="13" w:name="_Toc442214994"/>
      <w:bookmarkStart w:id="14" w:name="_Toc502136566"/>
      <w:r w:rsidRPr="00944D33">
        <w:rPr>
          <w:rFonts w:asciiTheme="minorHAnsi" w:hAnsiTheme="minorHAnsi"/>
          <w:color w:val="auto"/>
          <w:lang w:val="hr-BA"/>
        </w:rPr>
        <w:t xml:space="preserve">Misija </w:t>
      </w:r>
      <w:r w:rsidR="00FE3FFB" w:rsidRPr="00944D33">
        <w:rPr>
          <w:rFonts w:asciiTheme="minorHAnsi" w:hAnsiTheme="minorHAnsi"/>
          <w:color w:val="auto"/>
          <w:lang w:val="hr-BA"/>
        </w:rPr>
        <w:t>za tužilaštva u</w:t>
      </w:r>
      <w:r w:rsidR="001079FF" w:rsidRPr="00944D33">
        <w:rPr>
          <w:rFonts w:asciiTheme="minorHAnsi" w:hAnsiTheme="minorHAnsi"/>
          <w:color w:val="auto"/>
          <w:lang w:val="hr-BA"/>
        </w:rPr>
        <w:t xml:space="preserve"> Federacij</w:t>
      </w:r>
      <w:r w:rsidR="00FE3FFB" w:rsidRPr="00944D33">
        <w:rPr>
          <w:rFonts w:asciiTheme="minorHAnsi" w:hAnsiTheme="minorHAnsi"/>
          <w:color w:val="auto"/>
          <w:lang w:val="hr-BA"/>
        </w:rPr>
        <w:t>i</w:t>
      </w:r>
      <w:r w:rsidR="001079FF" w:rsidRPr="00944D33">
        <w:rPr>
          <w:rFonts w:asciiTheme="minorHAnsi" w:hAnsiTheme="minorHAnsi"/>
          <w:color w:val="auto"/>
          <w:lang w:val="hr-BA"/>
        </w:rPr>
        <w:t xml:space="preserve"> BiH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FE3FFB" w:rsidRPr="00944D33" w:rsidRDefault="00FE3FFB" w:rsidP="001079FF">
      <w:pPr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Misija tužilaštava u Federaciji BiH ostaje nepromijenjena</w:t>
      </w:r>
      <w:r w:rsidR="0007136D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i glasi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: </w:t>
      </w: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5B4E61" w:rsidP="001079FF">
      <w:pPr>
        <w:rPr>
          <w:rFonts w:asciiTheme="minorHAnsi" w:hAnsiTheme="minorHAnsi"/>
          <w:color w:val="auto"/>
          <w:lang w:val="hr-BA"/>
        </w:rPr>
      </w:pPr>
      <w:r w:rsidRPr="00944D33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3A6C6" wp14:editId="2DB1C4EF">
                <wp:simplePos x="0" y="0"/>
                <wp:positionH relativeFrom="column">
                  <wp:posOffset>-6985</wp:posOffset>
                </wp:positionH>
                <wp:positionV relativeFrom="paragraph">
                  <wp:posOffset>-61595</wp:posOffset>
                </wp:positionV>
                <wp:extent cx="6669405" cy="1107440"/>
                <wp:effectExtent l="0" t="0" r="17145" b="16510"/>
                <wp:wrapNone/>
                <wp:docPr id="3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31" w:rsidRDefault="00144E31" w:rsidP="000213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5DFEC"/>
                              <w:jc w:val="center"/>
                              <w:rPr>
                                <w:rFonts w:ascii="Times" w:hAnsi="Times"/>
                                <w:b/>
                                <w:spacing w:val="0"/>
                                <w:sz w:val="24"/>
                                <w:szCs w:val="24"/>
                                <w:lang w:val="bs-Latn-BA"/>
                              </w:rPr>
                            </w:pPr>
                          </w:p>
                          <w:p w:rsidR="00144E31" w:rsidRPr="00021341" w:rsidRDefault="00144E31" w:rsidP="009E50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5DFEC"/>
                              <w:jc w:val="center"/>
                              <w:rPr>
                                <w:rFonts w:ascii="Times" w:hAnsi="Times"/>
                                <w:b/>
                                <w:spacing w:val="0"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pacing w:val="0"/>
                                <w:sz w:val="24"/>
                                <w:szCs w:val="24"/>
                                <w:lang w:val="bs-Latn-BA"/>
                              </w:rPr>
                              <w:t>Misija tužilaštava u Federaciji BiH je otkrivanje i gonjenje potencijalnih učinalaca krivičnih djela s ciljem osiguranja vladavine prava i sigurnosti građana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3A6C6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.55pt;margin-top:-4.85pt;width:525.15pt;height:8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YULQIAAFM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">
                <v:textbox>
                  <w:txbxContent>
                    <w:p w:rsidR="00144E31" w:rsidRDefault="00144E31" w:rsidP="000213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5DFEC"/>
                        <w:jc w:val="center"/>
                        <w:rPr>
                          <w:rFonts w:ascii="Times" w:hAnsi="Times"/>
                          <w:b/>
                          <w:spacing w:val="0"/>
                          <w:sz w:val="24"/>
                          <w:szCs w:val="24"/>
                          <w:lang w:val="bs-Latn-BA"/>
                        </w:rPr>
                      </w:pPr>
                    </w:p>
                    <w:p w:rsidR="00144E31" w:rsidRPr="00021341" w:rsidRDefault="00144E31" w:rsidP="009E50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5DFEC"/>
                        <w:jc w:val="center"/>
                        <w:rPr>
                          <w:rFonts w:ascii="Times" w:hAnsi="Times"/>
                          <w:b/>
                          <w:spacing w:val="0"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" w:hAnsi="Times"/>
                          <w:b/>
                          <w:spacing w:val="0"/>
                          <w:sz w:val="24"/>
                          <w:szCs w:val="24"/>
                          <w:lang w:val="bs-Latn-BA"/>
                        </w:rPr>
                        <w:t>Misija tužilaštava u Federaciji BiH je otkrivanje i gonjenje potencijalnih učinalaca krivičnih djela s ciljem osiguranja vladavine prava i sigurnosti građana</w:t>
                      </w:r>
                    </w:p>
                  </w:txbxContent>
                </v:textbox>
              </v:shape>
            </w:pict>
          </mc:Fallback>
        </mc:AlternateContent>
      </w: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1079FF" w:rsidP="001079FF">
      <w:pPr>
        <w:pStyle w:val="Heading2"/>
        <w:rPr>
          <w:rFonts w:asciiTheme="minorHAnsi" w:hAnsiTheme="minorHAnsi"/>
          <w:color w:val="auto"/>
          <w:lang w:val="hr-BA"/>
        </w:rPr>
      </w:pPr>
      <w:bookmarkStart w:id="15" w:name="_Toc313866418"/>
      <w:bookmarkStart w:id="16" w:name="_Toc313882146"/>
      <w:bookmarkStart w:id="17" w:name="_Toc442208241"/>
      <w:bookmarkStart w:id="18" w:name="_Toc442208290"/>
      <w:bookmarkStart w:id="19" w:name="_Toc442211672"/>
      <w:bookmarkStart w:id="20" w:name="_Toc442214995"/>
      <w:bookmarkStart w:id="21" w:name="_Toc502136567"/>
      <w:r w:rsidRPr="00944D33">
        <w:rPr>
          <w:rFonts w:asciiTheme="minorHAnsi" w:hAnsiTheme="minorHAnsi"/>
          <w:color w:val="auto"/>
          <w:lang w:val="hr-BA"/>
        </w:rPr>
        <w:t xml:space="preserve">Vizija </w:t>
      </w:r>
      <w:r w:rsidR="00FE3FFB" w:rsidRPr="00944D33">
        <w:rPr>
          <w:rFonts w:asciiTheme="minorHAnsi" w:hAnsiTheme="minorHAnsi"/>
          <w:color w:val="auto"/>
          <w:lang w:val="hr-BA"/>
        </w:rPr>
        <w:t>za tužilaštva u Federaciji</w:t>
      </w:r>
      <w:r w:rsidRPr="00944D33">
        <w:rPr>
          <w:rFonts w:asciiTheme="minorHAnsi" w:hAnsiTheme="minorHAnsi"/>
          <w:color w:val="auto"/>
          <w:lang w:val="hr-BA"/>
        </w:rPr>
        <w:t xml:space="preserve"> BiH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474431" w:rsidRPr="00944D33" w:rsidRDefault="00474431" w:rsidP="00474431">
      <w:pPr>
        <w:rPr>
          <w:rFonts w:asciiTheme="minorHAnsi" w:hAnsiTheme="minorHAnsi"/>
          <w:color w:val="auto"/>
          <w:lang w:val="hr-BA"/>
        </w:rPr>
      </w:pPr>
    </w:p>
    <w:p w:rsidR="00474431" w:rsidRPr="00944D33" w:rsidRDefault="00FE3FFB" w:rsidP="00474431">
      <w:pPr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Isto</w:t>
      </w:r>
      <w:r w:rsidR="009E50EA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je i sa </w:t>
      </w:r>
      <w:r w:rsidR="00866373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izjavom</w:t>
      </w:r>
      <w:r w:rsidR="0007136D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o viziji</w:t>
      </w:r>
      <w:r w:rsidR="009E50EA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koji </w:t>
      </w:r>
      <w:r w:rsidR="0007136D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i dalje glasi</w:t>
      </w:r>
      <w:r w:rsidR="009E50EA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:</w:t>
      </w:r>
    </w:p>
    <w:p w:rsidR="00F6763E" w:rsidRPr="00944D33" w:rsidRDefault="005B4E61" w:rsidP="00474431">
      <w:pPr>
        <w:rPr>
          <w:rFonts w:asciiTheme="minorHAnsi" w:hAnsiTheme="minorHAnsi"/>
          <w:color w:val="auto"/>
          <w:lang w:val="hr-BA"/>
        </w:rPr>
      </w:pPr>
      <w:r w:rsidRPr="00944D33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CD7D9" wp14:editId="0E515D34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669405" cy="861060"/>
                <wp:effectExtent l="0" t="0" r="17145" b="15240"/>
                <wp:wrapNone/>
                <wp:docPr id="3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31" w:rsidRDefault="00144E31" w:rsidP="00BA60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5DFEC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pacing w:val="0"/>
                                <w:sz w:val="24"/>
                                <w:szCs w:val="24"/>
                                <w:lang w:val="bs-Latn-BA"/>
                              </w:rPr>
                            </w:pPr>
                          </w:p>
                          <w:p w:rsidR="00144E31" w:rsidRPr="00BA60C7" w:rsidRDefault="00144E31" w:rsidP="00473B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5DFEC"/>
                              <w:jc w:val="center"/>
                              <w:rPr>
                                <w:rFonts w:ascii="Times New Roman Bold" w:hAnsi="Times New Roman Bold"/>
                                <w:b/>
                                <w:bCs/>
                                <w:spacing w:val="0"/>
                                <w:sz w:val="24"/>
                                <w:szCs w:val="24"/>
                                <w:lang w:val="bs-Latn-BA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bCs/>
                                <w:spacing w:val="0"/>
                                <w:sz w:val="24"/>
                                <w:szCs w:val="24"/>
                                <w:lang w:val="bs-Latn-BA"/>
                              </w:rPr>
                              <w:t>Kompetentna, odvažna, pravična i efikasna tužilaštva u koji javnost vjeruje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CD7D9" id="Text Box 77" o:spid="_x0000_s1027" type="#_x0000_t202" style="position:absolute;margin-left:-9pt;margin-top:7.25pt;width:525.15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">
                <v:textbox>
                  <w:txbxContent>
                    <w:p w:rsidR="00144E31" w:rsidRDefault="00144E31" w:rsidP="00BA60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5DFEC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pacing w:val="0"/>
                          <w:sz w:val="24"/>
                          <w:szCs w:val="24"/>
                          <w:lang w:val="bs-Latn-BA"/>
                        </w:rPr>
                      </w:pPr>
                    </w:p>
                    <w:p w:rsidR="00144E31" w:rsidRPr="00BA60C7" w:rsidRDefault="00144E31" w:rsidP="00473B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5DFEC"/>
                        <w:jc w:val="center"/>
                        <w:rPr>
                          <w:rFonts w:ascii="Times New Roman Bold" w:hAnsi="Times New Roman Bold"/>
                          <w:b/>
                          <w:bCs/>
                          <w:spacing w:val="0"/>
                          <w:sz w:val="24"/>
                          <w:szCs w:val="24"/>
                          <w:lang w:val="bs-Latn-BA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bCs/>
                          <w:spacing w:val="0"/>
                          <w:sz w:val="24"/>
                          <w:szCs w:val="24"/>
                          <w:lang w:val="bs-Latn-BA"/>
                        </w:rPr>
                        <w:t>Kompetentna, odvažna, pravična i efikasna tužilaštva u koji javnost vjeruje</w:t>
                      </w:r>
                    </w:p>
                  </w:txbxContent>
                </v:textbox>
              </v:shape>
            </w:pict>
          </mc:Fallback>
        </mc:AlternateContent>
      </w: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1079FF" w:rsidRPr="00944D33" w:rsidRDefault="001079FF" w:rsidP="001079FF">
      <w:pPr>
        <w:rPr>
          <w:rFonts w:asciiTheme="minorHAnsi" w:hAnsiTheme="minorHAnsi"/>
          <w:color w:val="auto"/>
          <w:lang w:val="hr-BA"/>
        </w:rPr>
      </w:pPr>
    </w:p>
    <w:p w:rsidR="00B4399C" w:rsidRPr="00944D33" w:rsidRDefault="00B4399C" w:rsidP="00295378">
      <w:pPr>
        <w:pStyle w:val="Heading1"/>
        <w:rPr>
          <w:color w:val="auto"/>
        </w:rPr>
      </w:pPr>
      <w:bookmarkStart w:id="22" w:name="_Toc442208242"/>
      <w:bookmarkStart w:id="23" w:name="_Toc442208291"/>
      <w:bookmarkStart w:id="24" w:name="_Toc442211673"/>
      <w:bookmarkStart w:id="25" w:name="_Toc442214996"/>
    </w:p>
    <w:p w:rsidR="00B4399C" w:rsidRPr="00944D33" w:rsidRDefault="00B4399C" w:rsidP="00295378">
      <w:pPr>
        <w:pStyle w:val="Heading1"/>
        <w:rPr>
          <w:color w:val="auto"/>
        </w:rPr>
      </w:pPr>
    </w:p>
    <w:p w:rsidR="00B4399C" w:rsidRPr="00944D33" w:rsidRDefault="00B4399C" w:rsidP="00295378">
      <w:pPr>
        <w:pStyle w:val="Heading1"/>
        <w:rPr>
          <w:color w:val="auto"/>
        </w:rPr>
      </w:pPr>
    </w:p>
    <w:p w:rsidR="00B4399C" w:rsidRPr="00944D33" w:rsidRDefault="00B4399C" w:rsidP="00295378">
      <w:pPr>
        <w:pStyle w:val="Heading1"/>
        <w:rPr>
          <w:color w:val="auto"/>
        </w:rPr>
      </w:pPr>
    </w:p>
    <w:p w:rsidR="00B4399C" w:rsidRPr="00944D33" w:rsidRDefault="00B4399C" w:rsidP="00295378">
      <w:pPr>
        <w:pStyle w:val="Heading1"/>
        <w:rPr>
          <w:color w:val="auto"/>
        </w:rPr>
      </w:pPr>
    </w:p>
    <w:p w:rsidR="007E30A0" w:rsidRPr="00944D33" w:rsidRDefault="007E30A0" w:rsidP="00295378">
      <w:pPr>
        <w:pStyle w:val="Heading1"/>
        <w:rPr>
          <w:color w:val="auto"/>
        </w:rPr>
      </w:pPr>
      <w:bookmarkStart w:id="26" w:name="_Toc502136568"/>
      <w:r w:rsidRPr="00944D33">
        <w:rPr>
          <w:color w:val="auto"/>
        </w:rPr>
        <w:t xml:space="preserve">Opis tužilačkog sistema </w:t>
      </w:r>
      <w:r w:rsidR="00435760" w:rsidRPr="00944D33">
        <w:rPr>
          <w:color w:val="auto"/>
        </w:rPr>
        <w:t>Federacije BiH</w:t>
      </w:r>
      <w:bookmarkEnd w:id="22"/>
      <w:bookmarkEnd w:id="23"/>
      <w:bookmarkEnd w:id="24"/>
      <w:bookmarkEnd w:id="25"/>
      <w:bookmarkEnd w:id="26"/>
    </w:p>
    <w:p w:rsidR="00421E27" w:rsidRPr="00944D33" w:rsidRDefault="00421E27" w:rsidP="00421E27">
      <w:pPr>
        <w:tabs>
          <w:tab w:val="left" w:pos="6345"/>
        </w:tabs>
        <w:jc w:val="both"/>
        <w:rPr>
          <w:rFonts w:asciiTheme="minorHAnsi" w:hAnsiTheme="minorHAnsi" w:cs="Arial"/>
          <w:color w:val="auto"/>
          <w:szCs w:val="20"/>
          <w:lang w:val="hr-BA"/>
        </w:rPr>
      </w:pPr>
    </w:p>
    <w:p w:rsidR="00E17C7F" w:rsidRPr="00944D33" w:rsidRDefault="00E17C7F" w:rsidP="00E17C7F">
      <w:pPr>
        <w:tabs>
          <w:tab w:val="left" w:pos="6345"/>
        </w:tabs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Tužilaštva u Federaciji BiH vrše svoju funkciju u skladu sa Ustavom BiH, Ustavom Federacije BiH, ustavima kantona, a na osnovu zakona BiH, Federacije BiH i kantona. U okviru svojih nadležnosti, tužilaštva osiguravaju zaštitu, ostvarivanje i poštivanje ljudskih prava i građanskih sloboda garantovanih ustavima kantona, Federacije BiH i BiH, kao i prava i interese pravnih lica, u skladu sa zakonom, te obezbjeđuju ustavnost i zakonitost. Tužilaštva u Federaciji BiH su samostalna državna tijela koja poduzimaju zakonom određene mjere u pogledu istražnih radnji i krivičnog gonjenja lica za koje se sumnja da su počinila krivična djela, te vrše druge poslove u skladu sa federalnim i kantonalnim zakonima. Osnivanje, organizacija i nadležnost tužilaštava u Federaciji BiH uređeni su Zakonom o Federalnom tužilaštvu Federacije BiH, Zakonom o suzbijanju korupcije i organizovanog kriminala u Federaciji BiH i zakonima o kantonalnim tužilaštvima. Tužilački sistem Federacije BiH se sastoji od Federalnog tužilaštva Federacije BiH, u čijem se sastavu planira uspostaviti i Poseban odjel za suzbijanje korupcije, organizovanog i međukantonalnog kriminala, te deset kantonalnih tužilaštava:</w:t>
      </w:r>
    </w:p>
    <w:p w:rsidR="008E3696" w:rsidRPr="00944D33" w:rsidRDefault="008E3696" w:rsidP="00421E27">
      <w:pPr>
        <w:tabs>
          <w:tab w:val="left" w:pos="6345"/>
        </w:tabs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A25F69" w:rsidRPr="00944D33" w:rsidRDefault="00E17C7F" w:rsidP="00526485">
      <w:pPr>
        <w:numPr>
          <w:ilvl w:val="0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>Federalno tužilaštvo Federacije BiH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je osnovano za cijelu teritoriju Federacije BiH sa nadležnošću za postupanje pred svim sudovima u Federaciji. U ostvarivanju svojih funkcija Federalno tužilaštvo postupa po žalbenim postupcima pred Vrhovnim sudom Federacije BiH i učestvuje u postupcima po vanrednom pravnom lijeku. Federalno tužilaštvo nadzire rad kantonalnih tužilaštava, u kom smislu glavni federalni tužilac može donositi opća ili pojedinačna </w:t>
      </w:r>
      <w:r w:rsidR="00866373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obavezujuća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</w:t>
      </w:r>
      <w:r w:rsidR="00866373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uputstva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, kao što može preduzimati istrage i provoditi krivično gonjenje pred općinskim i kantonalnim sudovima u Federaciji BiH. Federalno tužilaštvo odlučuje i o prenošenju mjesne nadležnosti i rješava sukobe nadležnosti između kantonalnih tužilaštava te obavlja druge poslove utvrđene Zakonom o Federalnom tužilaštvu i drugim zakonima.</w:t>
      </w:r>
      <w:r w:rsidR="00A85322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</w:t>
      </w:r>
    </w:p>
    <w:p w:rsidR="00DC4B1D" w:rsidRPr="00944D33" w:rsidRDefault="00DC4B1D" w:rsidP="00DC4B1D">
      <w:pPr>
        <w:ind w:left="36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0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 xml:space="preserve">Posebni odjel Federalnog tužilaštva, 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nakon što se uspostavi biti će nadležan</w:t>
      </w: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 xml:space="preserve"> 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za suzbijanje korupcije, organizovanog i međukantonalnog kriminala te će biti nadležan da sprovodi istražne radnje i vrši funkciju otkrivanja i krivičnog gonjenja učinilaca krivičnih djela korupcije, organizovanog kriminala i međukantonalnog kriminala koja su u nadležnosti Posebnog odjela Vrhovnog suda Federacije BiH. Planirano je imenovanje 10 tužilaca u Posebnom odjelu Federalnog tužilaštva, kao i upošljavanje netužilačkog osoblja.</w:t>
      </w:r>
    </w:p>
    <w:p w:rsidR="00A25F69" w:rsidRPr="00944D33" w:rsidRDefault="00A25F69" w:rsidP="00A25F69">
      <w:pPr>
        <w:ind w:left="36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BA60C7" w:rsidRPr="00944D33" w:rsidRDefault="00421E27" w:rsidP="00712528">
      <w:pPr>
        <w:numPr>
          <w:ilvl w:val="0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>Kantonalna tužilaštva.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Tužilački sistem F</w:t>
      </w:r>
      <w:r w:rsidR="00B82E0D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ederacije 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BiH se sastoji i od </w:t>
      </w:r>
      <w:r w:rsidR="00712528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deset kantonalnih tužilaštava u čiji </w:t>
      </w:r>
      <w:r w:rsidR="00866373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sastav</w:t>
      </w:r>
      <w:r w:rsidR="00712528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ulaze odjeli,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koji se bave otkrivanjem i krivičnim gonjenjem općeg kriminala, privr</w:t>
      </w:r>
      <w:r w:rsidR="00BA60C7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ednog i organiziranog kriminala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, ratnih zločina</w:t>
      </w:r>
      <w:r w:rsidR="00E17C7F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,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kao i krivičnim djelima učin</w:t>
      </w:r>
      <w:r w:rsidR="00A85322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jenim od strane maloljetnih lic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a. Kant</w:t>
      </w:r>
      <w:r w:rsidR="00E17C7F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onalna tužilaštva su osnovana za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područja kantonalnih sudova u F</w:t>
      </w:r>
      <w:r w:rsidR="00B82E0D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ederacije 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BiH, a postupaju pred općinskim i kantonalnim sudovima u F</w:t>
      </w:r>
      <w:r w:rsidR="00B82E0D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ederaciji 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>BiH.</w:t>
      </w:r>
      <w:r w:rsidR="00BA60C7"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Kantonalna tužilaštva čine sljedeća tužilaštva: </w:t>
      </w:r>
    </w:p>
    <w:p w:rsidR="00A25F69" w:rsidRPr="00944D33" w:rsidRDefault="00A25F69" w:rsidP="00A25F69">
      <w:pPr>
        <w:ind w:left="36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1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>Kantonalno tužilaštvo Unsko-sanskog kantona Bihać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, koje u svom sastavu ima područnu kancelariju u Sanskom Mostu, nadležno je da postupa pred Kantonalnim sudom u Bihaću i pred općinskim sudovima u Bihaću, Bosanskoj krupi, Cazinu, Sanskom Mostu i Velikoj Kladušu. </w:t>
      </w:r>
    </w:p>
    <w:p w:rsidR="00E17C7F" w:rsidRPr="00944D33" w:rsidRDefault="00E17C7F" w:rsidP="00E17C7F">
      <w:pPr>
        <w:ind w:left="108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1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>Kantonalno tužilaštvo Posavskog kantona Orašje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je nadležno da postupa pred Kantonalnim sudom u Orašju, te pred Općinskim sudom u Orašju. </w:t>
      </w:r>
    </w:p>
    <w:p w:rsidR="0007136D" w:rsidRPr="00944D33" w:rsidRDefault="0007136D" w:rsidP="0007136D">
      <w:pPr>
        <w:ind w:left="108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1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>Kantonalno tužilaštvo Tuzlanskog kantona Tuzla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je nadležno da postupa pred Kantonalnim sudom u Tuzli, te općinskim sudovima u Tuzli, Gračanici, Gradačcu, Kalesiji, Živinicama, Srebreniku, Lukavcu i Banovićima. </w:t>
      </w:r>
    </w:p>
    <w:p w:rsidR="00E17C7F" w:rsidRPr="00944D33" w:rsidRDefault="00E17C7F" w:rsidP="00E17C7F">
      <w:pPr>
        <w:ind w:left="108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1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>Kantonalno tužilaštvo Zeničko-dobojskog Kantona Zenica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je nadležno da postupa pred Kantonalnim sudom u Zenici, te pred općinskim sudovima u Zenici, Kaknju, Tešnju, Visokom,  Zavidovićima i Žepču. </w:t>
      </w:r>
    </w:p>
    <w:p w:rsidR="0007136D" w:rsidRPr="00944D33" w:rsidRDefault="0007136D" w:rsidP="0007136D">
      <w:pPr>
        <w:ind w:left="108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1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>Kantonalno tužilaštvo Bosansko-podrinjskog kantona Goražde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je nadležno da postupa pred Kantonalnim sudom u Goraždu i pred Općinskim sudom u Goraždu. </w:t>
      </w:r>
    </w:p>
    <w:p w:rsidR="0007136D" w:rsidRPr="00944D33" w:rsidRDefault="0007136D" w:rsidP="0007136D">
      <w:pPr>
        <w:ind w:left="108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1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>Kantonalno tužilaštvo Srednjobosanskog kantona Travnik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je nadležno da postupa pred kantonalnim sudom u Novom Travniku, te općinskim sudovima u Travniku, Bugojnu, Kiseljaku i Jajcu. </w:t>
      </w:r>
    </w:p>
    <w:p w:rsidR="00E17C7F" w:rsidRPr="00944D33" w:rsidRDefault="00E17C7F" w:rsidP="00E17C7F">
      <w:pPr>
        <w:ind w:left="108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1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>Kantonalno tužilaštvo Hercegovačkog-neretvanskog kantona Mostar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, koje u svom sastavu ima područnu kancelariju u Konjicu, nadležno je da postupa pred Kantonalnim sudom u Mostaru, te pred općinskim sudovima u Mostaru, Konjicu, Čapljini i Čitluku. </w:t>
      </w:r>
    </w:p>
    <w:p w:rsidR="00E17C7F" w:rsidRPr="00944D33" w:rsidRDefault="00E17C7F" w:rsidP="00E17C7F">
      <w:pPr>
        <w:ind w:left="108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07136D" w:rsidRPr="00944D33" w:rsidRDefault="00E17C7F" w:rsidP="0007136D">
      <w:pPr>
        <w:numPr>
          <w:ilvl w:val="1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>Kantonalno tužilaštvo Zapadnohercegovačkog kantona Široki Brijeg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je nadležno da postupa pred Kantonalnim sudom u Širokom Brijegu te pred općinskim sudovima u Širokom Brijegu i Ljubuškim. </w:t>
      </w:r>
    </w:p>
    <w:p w:rsidR="00E17C7F" w:rsidRPr="00944D33" w:rsidRDefault="00E17C7F" w:rsidP="00E17C7F">
      <w:pPr>
        <w:ind w:left="108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1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 xml:space="preserve">Kantonalno tužilaštvo Kantona Sarajevo 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je nadležno da postupa pred Kantonalnim sudom u Sarajevu i pred Općinskim sudom u Sarajevu. </w:t>
      </w:r>
    </w:p>
    <w:p w:rsidR="00E17C7F" w:rsidRPr="00944D33" w:rsidRDefault="00E17C7F" w:rsidP="00E17C7F">
      <w:pPr>
        <w:ind w:left="1080"/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1"/>
          <w:numId w:val="26"/>
        </w:numPr>
        <w:jc w:val="both"/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Calibri"/>
          <w:b/>
          <w:color w:val="auto"/>
          <w:spacing w:val="0"/>
          <w:sz w:val="24"/>
          <w:szCs w:val="24"/>
          <w:lang w:val="hr-BA"/>
        </w:rPr>
        <w:t>Kantonalno tužilaštvo kantona 10 Livno</w:t>
      </w:r>
      <w:r w:rsidRPr="00944D33">
        <w:rPr>
          <w:rFonts w:asciiTheme="minorHAnsi" w:hAnsiTheme="minorHAnsi" w:cs="Calibri"/>
          <w:color w:val="auto"/>
          <w:spacing w:val="0"/>
          <w:sz w:val="24"/>
          <w:szCs w:val="24"/>
          <w:lang w:val="hr-BA"/>
        </w:rPr>
        <w:t xml:space="preserve"> je nadležno da postupa pred Kantonalnim sudom u Livnu i pred Općinskim sudom u Livnu. </w:t>
      </w:r>
    </w:p>
    <w:p w:rsidR="009A02AC" w:rsidRPr="00944D33" w:rsidRDefault="00B04B04" w:rsidP="00295378">
      <w:pPr>
        <w:pStyle w:val="Heading1"/>
        <w:rPr>
          <w:color w:val="auto"/>
          <w:spacing w:val="20"/>
        </w:rPr>
      </w:pPr>
      <w:bookmarkStart w:id="27" w:name="_Toc442208243"/>
      <w:bookmarkStart w:id="28" w:name="_Toc442208292"/>
      <w:bookmarkStart w:id="29" w:name="_Toc442214997"/>
      <w:bookmarkStart w:id="30" w:name="_Toc502136569"/>
      <w:r w:rsidRPr="00944D33">
        <w:rPr>
          <w:color w:val="auto"/>
        </w:rPr>
        <w:t>Zakoni i s</w:t>
      </w:r>
      <w:r w:rsidR="009A02AC" w:rsidRPr="00944D33">
        <w:rPr>
          <w:color w:val="auto"/>
        </w:rPr>
        <w:t>trateški dokumenti od značaja u</w:t>
      </w:r>
      <w:r w:rsidR="009E50EA" w:rsidRPr="00944D33">
        <w:rPr>
          <w:color w:val="auto"/>
        </w:rPr>
        <w:t xml:space="preserve"> radu tužilaštava za period </w:t>
      </w:r>
      <w:r w:rsidR="005033F5" w:rsidRPr="00944D33">
        <w:rPr>
          <w:color w:val="auto"/>
        </w:rPr>
        <w:t>2018 – 2020.</w:t>
      </w:r>
      <w:bookmarkEnd w:id="27"/>
      <w:bookmarkEnd w:id="28"/>
      <w:bookmarkEnd w:id="29"/>
      <w:bookmarkEnd w:id="30"/>
    </w:p>
    <w:p w:rsidR="000A19D4" w:rsidRPr="00944D33" w:rsidRDefault="000A19D4" w:rsidP="00B04B04">
      <w:pPr>
        <w:jc w:val="both"/>
        <w:rPr>
          <w:rFonts w:asciiTheme="minorHAnsi" w:hAnsiTheme="minorHAnsi"/>
          <w:color w:val="auto"/>
          <w:lang w:val="hr-BA"/>
        </w:rPr>
      </w:pPr>
    </w:p>
    <w:p w:rsidR="00E17C7F" w:rsidRPr="00944D33" w:rsidRDefault="0007136D" w:rsidP="00E17C7F">
      <w:pPr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S</w:t>
      </w:r>
      <w:r w:rsidR="00E17C7F"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trateški okvir </w:t>
      </w: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za tužilaštva u Federaciji BiH </w:t>
      </w:r>
      <w:r w:rsidR="00E17C7F"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sljedećim propisima koji su </w:t>
      </w:r>
      <w:r w:rsidR="00866373"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relevantni</w:t>
      </w:r>
      <w:r w:rsidR="00E17C7F"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 za rad tužilaštava u Federaciji BiH:</w:t>
      </w:r>
    </w:p>
    <w:p w:rsidR="00E17C7F" w:rsidRPr="00944D33" w:rsidRDefault="00E17C7F" w:rsidP="00E17C7F">
      <w:pPr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0"/>
          <w:numId w:val="27"/>
        </w:numPr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Ustavom Bosne i Hercegovine;</w:t>
      </w:r>
    </w:p>
    <w:p w:rsidR="00E17C7F" w:rsidRPr="00944D33" w:rsidRDefault="00E17C7F" w:rsidP="00E17C7F">
      <w:pPr>
        <w:ind w:left="36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</w:p>
    <w:p w:rsidR="00E17C7F" w:rsidRPr="00944D33" w:rsidRDefault="00E17C7F" w:rsidP="00E17C7F">
      <w:pPr>
        <w:numPr>
          <w:ilvl w:val="0"/>
          <w:numId w:val="27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Ustavom Federacije BiH i ustavima kantona;</w:t>
      </w:r>
    </w:p>
    <w:p w:rsidR="00E17C7F" w:rsidRPr="00944D33" w:rsidRDefault="00E17C7F" w:rsidP="00E17C7F">
      <w:pPr>
        <w:numPr>
          <w:ilvl w:val="0"/>
          <w:numId w:val="27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Zakonima Bosne i Hercegovine i Federacije BiH, a posebno u skladu sa:</w:t>
      </w:r>
    </w:p>
    <w:p w:rsidR="00E17C7F" w:rsidRPr="00944D33" w:rsidRDefault="00E17C7F" w:rsidP="00E17C7F">
      <w:pPr>
        <w:numPr>
          <w:ilvl w:val="0"/>
          <w:numId w:val="22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Zakonom o VSTV-u;</w:t>
      </w:r>
    </w:p>
    <w:p w:rsidR="00E17C7F" w:rsidRPr="00944D33" w:rsidRDefault="00E17C7F" w:rsidP="00E17C7F">
      <w:pPr>
        <w:numPr>
          <w:ilvl w:val="0"/>
          <w:numId w:val="22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Krivičnim zakonom Federacije BiH;</w:t>
      </w:r>
    </w:p>
    <w:p w:rsidR="00E17C7F" w:rsidRPr="00944D33" w:rsidRDefault="00E17C7F" w:rsidP="00E17C7F">
      <w:pPr>
        <w:numPr>
          <w:ilvl w:val="0"/>
          <w:numId w:val="22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Zakonom o krivičnom postupku Federacije BiH;</w:t>
      </w:r>
    </w:p>
    <w:p w:rsidR="00E17C7F" w:rsidRPr="00944D33" w:rsidRDefault="00E17C7F" w:rsidP="00E17C7F">
      <w:pPr>
        <w:numPr>
          <w:ilvl w:val="0"/>
          <w:numId w:val="22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Zakonom o zaštiti i postupanju sa djecom i maloljetnicima u krivičnom postupku;</w:t>
      </w:r>
    </w:p>
    <w:p w:rsidR="00E17C7F" w:rsidRPr="00944D33" w:rsidRDefault="00E17C7F" w:rsidP="00E17C7F">
      <w:pPr>
        <w:numPr>
          <w:ilvl w:val="0"/>
          <w:numId w:val="27"/>
        </w:numPr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Zakonom o Federalnom tužilaštvu, zakonima o kantonalnim tužilaštvima i dr.</w:t>
      </w:r>
    </w:p>
    <w:p w:rsidR="00E17C7F" w:rsidRPr="00944D33" w:rsidRDefault="00E17C7F" w:rsidP="00E17C7F">
      <w:pPr>
        <w:rPr>
          <w:rFonts w:asciiTheme="minorHAnsi" w:hAnsiTheme="minorHAnsi"/>
          <w:color w:val="auto"/>
          <w:szCs w:val="20"/>
          <w:lang w:val="hr-BA"/>
        </w:rPr>
      </w:pPr>
    </w:p>
    <w:p w:rsidR="00E17C7F" w:rsidRPr="00944D33" w:rsidRDefault="00E17C7F" w:rsidP="00E17C7F">
      <w:pPr>
        <w:rPr>
          <w:rFonts w:asciiTheme="minorHAnsi" w:hAnsiTheme="minorHAnsi"/>
          <w:color w:val="auto"/>
          <w:szCs w:val="20"/>
          <w:lang w:val="hr-BA"/>
        </w:rPr>
      </w:pPr>
    </w:p>
    <w:p w:rsidR="00E17C7F" w:rsidRPr="00944D33" w:rsidRDefault="00E17C7F" w:rsidP="00E17C7F">
      <w:pPr>
        <w:tabs>
          <w:tab w:val="left" w:pos="6345"/>
        </w:tabs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Strateški okvir </w:t>
      </w:r>
      <w:r w:rsidR="009E50EA"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za tužilaštva u</w:t>
      </w: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 F</w:t>
      </w:r>
      <w:r w:rsidR="009E50EA"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ederaciji</w:t>
      </w: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 BiH temelji se na više ključnih strateških razvojnih okvira, zakona, zaključaka i pravilnika, kao što su</w:t>
      </w:r>
      <w:r w:rsidR="009E50EA"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, između ostalih</w:t>
      </w: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:</w:t>
      </w:r>
    </w:p>
    <w:p w:rsidR="00E17C7F" w:rsidRPr="00944D33" w:rsidRDefault="00E17C7F" w:rsidP="00E17C7F">
      <w:pPr>
        <w:tabs>
          <w:tab w:val="left" w:pos="6345"/>
        </w:tabs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</w:p>
    <w:p w:rsidR="00F85F6D" w:rsidRPr="00CA783D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bookmarkStart w:id="31" w:name="_Toc442208248"/>
      <w:bookmarkStart w:id="32" w:name="_Toc442208297"/>
      <w:bookmarkStart w:id="33" w:name="_Toc442214998"/>
      <w:r w:rsidRPr="00CA783D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Srednjoročnim planom rada VSTV-a za period od 2019. do 2021. godine</w:t>
      </w:r>
      <w:r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;</w:t>
      </w:r>
    </w:p>
    <w:p w:rsidR="00F85F6D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CA783D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 Strateškim okvirom za tužilački sistem Federacije Bosne i Hercegovine za period 2019. do 2021. </w:t>
      </w:r>
      <w:r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g</w:t>
      </w:r>
      <w:r w:rsidRPr="00CA783D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odine</w:t>
      </w:r>
      <w:r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;</w:t>
      </w:r>
    </w:p>
    <w:p w:rsidR="00F85F6D" w:rsidRPr="00944D33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Strategija za reformu sektora pravde u Bosni i Hercegovini za period 2014.-2018. godina;</w:t>
      </w:r>
    </w:p>
    <w:p w:rsidR="00F85F6D" w:rsidRPr="00944D33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Državna Strategija za rad na predmetima ratnih zločina;</w:t>
      </w:r>
    </w:p>
    <w:p w:rsidR="00F85F6D" w:rsidRPr="00944D33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Zaključke sa </w:t>
      </w:r>
      <w:r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godišnjih</w:t>
      </w: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 Konferencije glavnih tužilaca u Bosni i Hercegovini;</w:t>
      </w:r>
    </w:p>
    <w:p w:rsidR="00F85F6D" w:rsidRPr="00944D33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Strategija za borbu protiv korupcije u Bosni i Hercegovini za period 2015.-2019. godina i prateći Akcioni plan;</w:t>
      </w:r>
    </w:p>
    <w:p w:rsidR="00F85F6D" w:rsidRPr="00944D33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Strategija za borbu protiv organizovanog kriminala u Bosni i Hercegovi</w:t>
      </w:r>
      <w:r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ni za period 2017.-2020. godina </w:t>
      </w:r>
    </w:p>
    <w:p w:rsidR="00F85F6D" w:rsidRPr="00944D33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Strategija Bosne i Hercegovine za prevenciju terorizma za period 2015.-2020. godina;</w:t>
      </w:r>
    </w:p>
    <w:p w:rsidR="00F85F6D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CA783D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 xml:space="preserve">Strategija za borbu protiv trgovine ljudima u Bosni i Hercegovini za period </w:t>
      </w:r>
    </w:p>
    <w:p w:rsidR="00F85F6D" w:rsidRPr="00CA783D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CA783D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Strategija za borbu protiv nasilja nad djecom u Bosni i Hercegovini Obaveze koje proističu iz procesa pristupanja Evropskoj uniji;</w:t>
      </w:r>
    </w:p>
    <w:p w:rsidR="00F85F6D" w:rsidRPr="00944D33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Pravilnik o orijentacionim mjerilima za rad tužilaca u tužilaštvima u BiH, kriteriji za ocjenjivanje tužilaca i glavnih tužilaca, sa odgovarajućim izmjenama i dopunama;</w:t>
      </w:r>
    </w:p>
    <w:p w:rsidR="00F85F6D" w:rsidRPr="00944D33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Pravilnik o vremenskim okvirima za postupanje po predmetima u sudovima i tužilaštvima u BiH sa odgovarajućim uputstvom o primjeni;</w:t>
      </w:r>
    </w:p>
    <w:p w:rsidR="00F85F6D" w:rsidRPr="00944D33" w:rsidRDefault="00F85F6D" w:rsidP="00F85F6D">
      <w:pPr>
        <w:numPr>
          <w:ilvl w:val="0"/>
          <w:numId w:val="14"/>
        </w:numPr>
        <w:spacing w:after="200"/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  <w:t>Uputstvima za izradu i pojedinačnim planovima za rješavanje starih predmeta u tužilaštvima i dr.</w:t>
      </w:r>
    </w:p>
    <w:p w:rsidR="00E17C7F" w:rsidRPr="00944D33" w:rsidRDefault="00E17C7F" w:rsidP="00E17C7F">
      <w:pPr>
        <w:jc w:val="both"/>
        <w:rPr>
          <w:rFonts w:asciiTheme="minorHAnsi" w:hAnsiTheme="minorHAnsi" w:cs="Arial"/>
          <w:color w:val="auto"/>
          <w:spacing w:val="0"/>
          <w:sz w:val="24"/>
          <w:szCs w:val="24"/>
          <w:lang w:val="hr-BA"/>
        </w:rPr>
      </w:pPr>
    </w:p>
    <w:p w:rsidR="005F3962" w:rsidRPr="00944D33" w:rsidRDefault="009E50EA" w:rsidP="00B50865">
      <w:pPr>
        <w:pStyle w:val="Heading1"/>
        <w:spacing w:before="0"/>
        <w:rPr>
          <w:color w:val="auto"/>
        </w:rPr>
      </w:pPr>
      <w:r w:rsidRPr="00944D33">
        <w:rPr>
          <w:color w:val="auto"/>
        </w:rPr>
        <w:br w:type="page"/>
      </w:r>
      <w:bookmarkStart w:id="34" w:name="_Toc502136570"/>
      <w:r w:rsidR="002B6BF6" w:rsidRPr="00944D33">
        <w:rPr>
          <w:color w:val="auto"/>
        </w:rPr>
        <w:t xml:space="preserve">Pregled </w:t>
      </w:r>
      <w:r w:rsidRPr="00944D33">
        <w:rPr>
          <w:color w:val="auto"/>
        </w:rPr>
        <w:t>realizacije Strateškog okvira u 201</w:t>
      </w:r>
      <w:r w:rsidR="00F85F6D">
        <w:rPr>
          <w:color w:val="auto"/>
        </w:rPr>
        <w:t>8</w:t>
      </w:r>
      <w:r w:rsidRPr="00944D33">
        <w:rPr>
          <w:color w:val="auto"/>
        </w:rPr>
        <w:t>. godini</w:t>
      </w:r>
      <w:bookmarkEnd w:id="34"/>
      <w:r w:rsidRPr="00944D33">
        <w:rPr>
          <w:color w:val="auto"/>
        </w:rPr>
        <w:t xml:space="preserve"> </w:t>
      </w:r>
      <w:bookmarkEnd w:id="31"/>
      <w:bookmarkEnd w:id="32"/>
      <w:bookmarkEnd w:id="33"/>
    </w:p>
    <w:p w:rsidR="009E50EA" w:rsidRPr="00944D33" w:rsidRDefault="00B830AE" w:rsidP="002B6BF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Strateškim okvirom za period </w:t>
      </w:r>
      <w:r w:rsidR="00F85F6D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2018. – 2020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F85F6D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godina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su definisana tri strateška cilja:</w:t>
      </w:r>
    </w:p>
    <w:p w:rsidR="00B830AE" w:rsidRPr="00944D33" w:rsidRDefault="00B830AE" w:rsidP="00B830AE">
      <w:pPr>
        <w:numPr>
          <w:ilvl w:val="0"/>
          <w:numId w:val="33"/>
        </w:num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Smanjiti broj starih predmeta; </w:t>
      </w:r>
    </w:p>
    <w:p w:rsidR="00B830AE" w:rsidRPr="00944D33" w:rsidRDefault="00B830AE" w:rsidP="00B830AE">
      <w:pPr>
        <w:numPr>
          <w:ilvl w:val="0"/>
          <w:numId w:val="33"/>
        </w:num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Povećati efikasnost i kvalitet rada tužilaštava i</w:t>
      </w:r>
    </w:p>
    <w:p w:rsidR="00B830AE" w:rsidRPr="00944D33" w:rsidRDefault="00E36CC9" w:rsidP="00B830AE">
      <w:pPr>
        <w:numPr>
          <w:ilvl w:val="0"/>
          <w:numId w:val="33"/>
        </w:num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1379D8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Povećati kvantitet i kvalitet informacija u skladu sa planom praćenja i evaluacije PR u tužilaštvima</w:t>
      </w:r>
      <w:r w:rsidR="00B830A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. </w:t>
      </w:r>
    </w:p>
    <w:p w:rsidR="00A66069" w:rsidRPr="00944D33" w:rsidRDefault="00A66069" w:rsidP="00A66069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B830AE" w:rsidRPr="00944D33" w:rsidRDefault="00A66069" w:rsidP="002B6BF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Za sva tri strateška cilja definisan je set ciljanih rezultata za koji su utvrđeni indikatori realizacije za period </w:t>
      </w:r>
      <w:r w:rsidR="00F85F6D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2018. – 2020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F85F6D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godina.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Ciljani rezultati za sva tri strateška cilja prikazani su u prikazu ispod: </w:t>
      </w:r>
    </w:p>
    <w:p w:rsidR="00B830AE" w:rsidRPr="00944D33" w:rsidRDefault="00B830AE" w:rsidP="002B6BF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B830AE" w:rsidRPr="00944D33" w:rsidRDefault="00A4216A" w:rsidP="00B830AE">
      <w:pPr>
        <w:jc w:val="center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noProof/>
          <w:color w:val="auto"/>
        </w:rPr>
        <w:drawing>
          <wp:inline distT="0" distB="0" distL="0" distR="0" wp14:anchorId="62713E4C" wp14:editId="2D6FE278">
            <wp:extent cx="5305646" cy="4316819"/>
            <wp:effectExtent l="57150" t="38100" r="47625" b="8382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830AE" w:rsidRPr="00944D33" w:rsidRDefault="00B830AE" w:rsidP="002B6BF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253B18" w:rsidRPr="00944D33" w:rsidRDefault="00A66069" w:rsidP="005033F5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Za sve ciljane rezultate su definisani indikatori </w:t>
      </w:r>
      <w:r w:rsidR="00253B18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učinka za sve tri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godine strateškog okvira</w:t>
      </w:r>
      <w:r w:rsidR="00253B18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, koji predstavljaju </w:t>
      </w:r>
      <w:r w:rsidR="008466D3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učin</w:t>
      </w:r>
      <w:r w:rsidR="0007136D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ak</w:t>
      </w:r>
      <w:r w:rsidR="008466D3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koji se želi ostvariti na nivou svih tužilaštava u Federaciji BiH u datoj godini. U svojim godišnjim planovima rada pojedinačna </w:t>
      </w:r>
      <w:r w:rsidR="00866373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tužilaštva</w:t>
      </w:r>
      <w:r w:rsidR="008466D3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su definisala svoje indikatore učinka na osnovu specifičnih trendova i okolnosti tog tužilaštva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 Za 201</w:t>
      </w:r>
      <w:r w:rsidR="00E36CC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8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. godinu su definisani sljedeći </w:t>
      </w:r>
      <w:r w:rsidR="008466D3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indikatori učinka</w:t>
      </w:r>
      <w:r w:rsidR="00253B18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za svaku od strateških ciljeva i ciljanih rezultata:</w:t>
      </w:r>
    </w:p>
    <w:p w:rsidR="00253B18" w:rsidRPr="00944D33" w:rsidRDefault="00253B18" w:rsidP="002B6BF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253B18" w:rsidRPr="00944D33" w:rsidRDefault="00253B18" w:rsidP="002B6BF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755"/>
        <w:gridCol w:w="6305"/>
      </w:tblGrid>
      <w:tr w:rsidR="00295378" w:rsidRPr="00944D33" w:rsidTr="002F2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3B18" w:rsidRPr="00944D33" w:rsidRDefault="00253B18" w:rsidP="00253B18">
            <w:pPr>
              <w:jc w:val="center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Ciljani rezultat</w:t>
            </w:r>
          </w:p>
        </w:tc>
        <w:tc>
          <w:tcPr>
            <w:tcW w:w="6379" w:type="dxa"/>
          </w:tcPr>
          <w:p w:rsidR="00253B18" w:rsidRPr="00944D33" w:rsidRDefault="00253B18" w:rsidP="005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Planirana realizacija za 201</w:t>
            </w:r>
            <w:r w:rsidR="002F2778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8</w:t>
            </w: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. godinu</w:t>
            </w:r>
          </w:p>
        </w:tc>
      </w:tr>
      <w:tr w:rsidR="00295378" w:rsidRPr="00944D33" w:rsidTr="001A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</w:tcPr>
          <w:p w:rsidR="003D214A" w:rsidRPr="00944D33" w:rsidRDefault="003D214A" w:rsidP="00253B18">
            <w:pPr>
              <w:jc w:val="center"/>
              <w:rPr>
                <w:rFonts w:asciiTheme="minorHAnsi" w:hAnsiTheme="minorHAnsi"/>
                <w:bCs w:val="0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Strateški cilj 1: Smanjiti broj starih predmeta</w:t>
            </w:r>
          </w:p>
        </w:tc>
      </w:tr>
      <w:tr w:rsidR="00295378" w:rsidRPr="00944D33" w:rsidTr="001A1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3B18" w:rsidRPr="00944D33" w:rsidRDefault="00253B18" w:rsidP="00253B18">
            <w:pPr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 xml:space="preserve">Smanjiti broj neriješenih KT predmeta starijih od dvije godine </w:t>
            </w:r>
          </w:p>
        </w:tc>
        <w:tc>
          <w:tcPr>
            <w:tcW w:w="6379" w:type="dxa"/>
          </w:tcPr>
          <w:p w:rsidR="00253B18" w:rsidRPr="00944D33" w:rsidRDefault="002F2778" w:rsidP="002953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2F2778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U 2018. će se broj neriješenih starih KT predmeta starijih od dvije godine smanjiti za više od 50%, dok će se broj neriješenih svih starih predmeta starijih od dvije godine (što uključuje predmete koji su stekli status starog predmeta tokom 2018. godine) smanjiti za 10%</w:t>
            </w:r>
          </w:p>
        </w:tc>
      </w:tr>
      <w:tr w:rsidR="00295378" w:rsidRPr="00944D33" w:rsidTr="001A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3B18" w:rsidRPr="00944D33" w:rsidRDefault="00253B18" w:rsidP="00253B18">
            <w:pPr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Smanjiti broj neriješenih KTA predmeta starijih od dvije godine</w:t>
            </w:r>
          </w:p>
        </w:tc>
        <w:tc>
          <w:tcPr>
            <w:tcW w:w="6379" w:type="dxa"/>
          </w:tcPr>
          <w:p w:rsidR="00253B18" w:rsidRPr="00944D33" w:rsidRDefault="002F2778" w:rsidP="002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2F2778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U 2018. će se broj neriješenih starih KTA predmeta starijih od dvije godine smanjiti za više od 50%, dok će se broj neriješenih svih starih predmeta starijih od dvije godine (što uključuje predmete koji su stekli status starog predmeta tokom 2018. godine) smanjiti za 10%</w:t>
            </w:r>
          </w:p>
        </w:tc>
      </w:tr>
      <w:tr w:rsidR="00295378" w:rsidRPr="00944D33" w:rsidTr="001A1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</w:tcPr>
          <w:p w:rsidR="003D214A" w:rsidRPr="00944D33" w:rsidRDefault="00CD557E" w:rsidP="003D214A">
            <w:pPr>
              <w:jc w:val="center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Strateški cilj 2: P</w:t>
            </w:r>
            <w:r w:rsidR="003D214A"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ovećati efikasnost i kvalitet u radu</w:t>
            </w:r>
          </w:p>
        </w:tc>
      </w:tr>
      <w:tr w:rsidR="00295378" w:rsidRPr="00944D33" w:rsidTr="001A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3B18" w:rsidRPr="00944D33" w:rsidRDefault="00253B18" w:rsidP="00253B18">
            <w:pPr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Skratiti prosječnu dužinu trajanja predmeta</w:t>
            </w:r>
          </w:p>
        </w:tc>
        <w:tc>
          <w:tcPr>
            <w:tcW w:w="6379" w:type="dxa"/>
          </w:tcPr>
          <w:p w:rsidR="00253B18" w:rsidRPr="00944D33" w:rsidRDefault="005033F5" w:rsidP="003D2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bCs/>
                <w:color w:val="auto"/>
                <w:spacing w:val="0"/>
                <w:szCs w:val="20"/>
                <w:lang w:val="hr-BA"/>
              </w:rPr>
              <w:t>220</w:t>
            </w:r>
            <w:r w:rsidR="002F2778">
              <w:rPr>
                <w:rFonts w:asciiTheme="minorHAnsi" w:hAnsiTheme="minorHAnsi"/>
                <w:bCs/>
                <w:color w:val="auto"/>
                <w:spacing w:val="0"/>
                <w:szCs w:val="20"/>
                <w:lang w:val="hr-BA"/>
              </w:rPr>
              <w:t xml:space="preserve"> dana</w:t>
            </w:r>
          </w:p>
        </w:tc>
      </w:tr>
      <w:tr w:rsidR="00295378" w:rsidRPr="004A7F54" w:rsidTr="001A1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53B18" w:rsidRPr="00944D33" w:rsidRDefault="002F2778" w:rsidP="00253B18">
            <w:pPr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2F2778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Povećati omjer osuđujućih presuda u odnosu na ukupan broj presuda</w:t>
            </w:r>
          </w:p>
        </w:tc>
        <w:tc>
          <w:tcPr>
            <w:tcW w:w="6379" w:type="dxa"/>
          </w:tcPr>
          <w:p w:rsidR="00B74BC1" w:rsidRDefault="00B74BC1" w:rsidP="00B74BC1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B74BC1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 xml:space="preserve">U predmetima općeg kriminala osigurati da učešće osuđujućih presuda bude iznad 95% u odnosu na ukupan broj presuda </w:t>
            </w:r>
          </w:p>
          <w:p w:rsidR="003D214A" w:rsidRDefault="00B74BC1" w:rsidP="00B74BC1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B74BC1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 xml:space="preserve">U predmetima privrednog kriminala  (KTPO) osigurati da učešće osuđujućih presuda bude iznad 85% u odnosu na ukupan broj presuda </w:t>
            </w:r>
            <w:r w:rsidR="005033F5" w:rsidRPr="00B74BC1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 xml:space="preserve">Korupcija: </w:t>
            </w:r>
          </w:p>
          <w:p w:rsidR="00B74BC1" w:rsidRPr="00B74BC1" w:rsidRDefault="00B74BC1" w:rsidP="00B74BC1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B74BC1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U predmetima korupcije (KTK) osigurati da učešće osuđujućih presuda bude iznad 85% u odnosu na ukupan broj presuda</w:t>
            </w:r>
          </w:p>
        </w:tc>
      </w:tr>
      <w:tr w:rsidR="00295378" w:rsidRPr="004A7F54" w:rsidTr="001A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D214A" w:rsidRPr="00944D33" w:rsidRDefault="003D214A" w:rsidP="00253B18">
            <w:pPr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Smanjiti omjer uvaženih pritužbu u odnosu na broj uloženih pritužbi na odluke o neprovođenju istraga i na odluke o obustavi istraga</w:t>
            </w:r>
          </w:p>
        </w:tc>
        <w:tc>
          <w:tcPr>
            <w:tcW w:w="6379" w:type="dxa"/>
          </w:tcPr>
          <w:p w:rsidR="003D214A" w:rsidRPr="00944D33" w:rsidRDefault="005033F5" w:rsidP="003D2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Omjer usvojenih pritužbi ne prelazi omjer od 10% u odnosu na uložene pritužbe na odluke o nesprovođenju i o obustavi istraga</w:t>
            </w:r>
          </w:p>
        </w:tc>
      </w:tr>
      <w:tr w:rsidR="00295378" w:rsidRPr="004A7F54" w:rsidTr="001A1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D214A" w:rsidRPr="00944D33" w:rsidRDefault="003D214A" w:rsidP="00253B18">
            <w:pPr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Smanjiti broj neriješenih prijava</w:t>
            </w:r>
          </w:p>
        </w:tc>
        <w:tc>
          <w:tcPr>
            <w:tcW w:w="6379" w:type="dxa"/>
          </w:tcPr>
          <w:p w:rsidR="003D214A" w:rsidRPr="00944D33" w:rsidRDefault="00B74BC1" w:rsidP="003D21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B74BC1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Za 2018. smanjiti broj neriješenih prijava za 10% u odnosu na broj zabilježen 31.12.2017. godine za cjelokupni Tužilački sistem u Federaciji BiH</w:t>
            </w:r>
          </w:p>
        </w:tc>
      </w:tr>
      <w:tr w:rsidR="00295378" w:rsidRPr="004A7F54" w:rsidTr="001A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D214A" w:rsidRPr="00944D33" w:rsidRDefault="003D214A" w:rsidP="00253B18">
            <w:pPr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Smanjiti broj neriješenih istraga</w:t>
            </w:r>
          </w:p>
        </w:tc>
        <w:tc>
          <w:tcPr>
            <w:tcW w:w="6379" w:type="dxa"/>
          </w:tcPr>
          <w:p w:rsidR="003D214A" w:rsidRPr="00944D33" w:rsidRDefault="00B74BC1" w:rsidP="003D2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B74BC1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Za 2018. smanjiti broj neriješenih istraga za 10% u odnosu na broj zabilježen 31.12.2017. godine za cjelokupni Tužilački sistem u Federaciji BiH</w:t>
            </w:r>
          </w:p>
        </w:tc>
      </w:tr>
      <w:tr w:rsidR="00295378" w:rsidRPr="00944D33" w:rsidTr="001A1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</w:tcPr>
          <w:p w:rsidR="003D214A" w:rsidRPr="00944D33" w:rsidRDefault="003D214A" w:rsidP="003D214A">
            <w:pPr>
              <w:jc w:val="center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 xml:space="preserve">Strateški cilj 3: </w:t>
            </w:r>
            <w:r w:rsidR="00B74BC1" w:rsidRPr="00B74BC1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Povećati kvantitet i kvalitet informacija u skladu sa planom praćenja i evaluacije PR u tužilaštvima</w:t>
            </w:r>
          </w:p>
        </w:tc>
      </w:tr>
      <w:tr w:rsidR="00295378" w:rsidRPr="00944D33" w:rsidTr="001A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D214A" w:rsidRPr="00944D33" w:rsidRDefault="00B74BC1" w:rsidP="00B74BC1">
            <w:pPr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B74BC1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Povećati kvalitet informacija u skladu sa planom praćenja i evaluacije PR u tužilaštvima</w:t>
            </w:r>
          </w:p>
        </w:tc>
        <w:tc>
          <w:tcPr>
            <w:tcW w:w="6379" w:type="dxa"/>
          </w:tcPr>
          <w:p w:rsidR="003D214A" w:rsidRPr="00944D33" w:rsidRDefault="00B74BC1" w:rsidP="003D2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B74BC1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Povećati za 5% u odnosu na ocjenu datu u 2017.</w:t>
            </w:r>
          </w:p>
        </w:tc>
      </w:tr>
      <w:tr w:rsidR="00295378" w:rsidRPr="004A7F54" w:rsidTr="001A1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3D214A" w:rsidRPr="00944D33" w:rsidRDefault="00B74BC1" w:rsidP="00B74BC1">
            <w:pPr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B74BC1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Povećati kvantitet informacija u skladu sa planom praćenja i evaluacije PR u tužilaštvima</w:t>
            </w:r>
          </w:p>
        </w:tc>
        <w:tc>
          <w:tcPr>
            <w:tcW w:w="6379" w:type="dxa"/>
          </w:tcPr>
          <w:p w:rsidR="003D214A" w:rsidRPr="00944D33" w:rsidRDefault="00B74BC1" w:rsidP="003D21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</w:pPr>
            <w:r w:rsidRPr="00B74BC1">
              <w:rPr>
                <w:rFonts w:asciiTheme="minorHAnsi" w:hAnsiTheme="minorHAnsi"/>
                <w:color w:val="auto"/>
                <w:spacing w:val="0"/>
                <w:szCs w:val="20"/>
                <w:lang w:val="hr-BA"/>
              </w:rPr>
              <w:t>Povećati za 5% u odnosu na ocjenu datu u 2017.</w:t>
            </w:r>
          </w:p>
        </w:tc>
      </w:tr>
    </w:tbl>
    <w:p w:rsidR="00253B18" w:rsidRDefault="00253B18" w:rsidP="002B6BF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B74BC1" w:rsidRPr="00944D33" w:rsidRDefault="00B74BC1" w:rsidP="002B6BF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A66069" w:rsidRPr="00944D33" w:rsidRDefault="00A66069" w:rsidP="002B6BF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A66069" w:rsidRPr="00944D33" w:rsidRDefault="00A66069" w:rsidP="002B6BF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U nast</w:t>
      </w:r>
      <w:r w:rsidR="008466D3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avku slijedi pregled realizacije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</w:t>
      </w:r>
      <w:r w:rsidR="00B74BC1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indikatora učinka u 2018</w:t>
      </w:r>
      <w:r w:rsidR="008466D3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 godini.</w:t>
      </w:r>
    </w:p>
    <w:p w:rsidR="005033F5" w:rsidRPr="00944D33" w:rsidRDefault="005033F5">
      <w:pPr>
        <w:spacing w:line="240" w:lineRule="auto"/>
        <w:rPr>
          <w:rFonts w:asciiTheme="minorHAnsi" w:hAnsiTheme="minorHAnsi"/>
          <w:b/>
          <w:bCs/>
          <w:color w:val="auto"/>
          <w:spacing w:val="0"/>
          <w:sz w:val="26"/>
          <w:szCs w:val="26"/>
          <w:lang w:val="hr-BA"/>
        </w:rPr>
      </w:pPr>
      <w:r w:rsidRPr="00944D33">
        <w:rPr>
          <w:rFonts w:asciiTheme="minorHAnsi" w:hAnsiTheme="minorHAnsi"/>
          <w:color w:val="auto"/>
          <w:lang w:val="hr-BA"/>
        </w:rPr>
        <w:br w:type="page"/>
      </w:r>
    </w:p>
    <w:p w:rsidR="00CD557E" w:rsidRPr="00944D33" w:rsidRDefault="00CD557E" w:rsidP="008466D3">
      <w:pPr>
        <w:pStyle w:val="Heading2"/>
        <w:rPr>
          <w:rFonts w:asciiTheme="minorHAnsi" w:hAnsiTheme="minorHAnsi"/>
          <w:color w:val="auto"/>
          <w:lang w:val="hr-BA"/>
        </w:rPr>
      </w:pPr>
      <w:bookmarkStart w:id="35" w:name="_Toc502136571"/>
      <w:r w:rsidRPr="00944D33">
        <w:rPr>
          <w:rFonts w:asciiTheme="minorHAnsi" w:hAnsiTheme="minorHAnsi"/>
          <w:color w:val="auto"/>
          <w:lang w:val="hr-BA"/>
        </w:rPr>
        <w:t xml:space="preserve">Realizacija strateškog cilja 1: </w:t>
      </w:r>
      <w:r w:rsidR="00866373" w:rsidRPr="00944D33">
        <w:rPr>
          <w:rFonts w:asciiTheme="minorHAnsi" w:hAnsiTheme="minorHAnsi"/>
          <w:color w:val="auto"/>
          <w:lang w:val="hr-BA"/>
        </w:rPr>
        <w:t>Smanjiti</w:t>
      </w:r>
      <w:r w:rsidRPr="00944D33">
        <w:rPr>
          <w:rFonts w:asciiTheme="minorHAnsi" w:hAnsiTheme="minorHAnsi"/>
          <w:color w:val="auto"/>
          <w:lang w:val="hr-BA"/>
        </w:rPr>
        <w:t xml:space="preserve"> broj starih predmeta</w:t>
      </w:r>
      <w:bookmarkEnd w:id="35"/>
    </w:p>
    <w:p w:rsidR="008466D3" w:rsidRPr="00944D33" w:rsidRDefault="00CD557E" w:rsidP="00B50865">
      <w:pPr>
        <w:pStyle w:val="Heading3"/>
      </w:pPr>
      <w:bookmarkStart w:id="36" w:name="_Toc344495160"/>
      <w:r w:rsidRPr="00944D33">
        <w:t xml:space="preserve">Ciljani rezultat 1.1 – </w:t>
      </w:r>
      <w:r w:rsidR="00866373" w:rsidRPr="00944D33">
        <w:t>Smanjiti</w:t>
      </w:r>
      <w:r w:rsidRPr="00944D33">
        <w:t xml:space="preserve"> b</w:t>
      </w:r>
      <w:r w:rsidR="008466D3" w:rsidRPr="00944D33">
        <w:t>roj neriješenih KT predmeta starijih od dvije godine</w:t>
      </w:r>
      <w:bookmarkEnd w:id="36"/>
    </w:p>
    <w:p w:rsidR="005033F5" w:rsidRPr="00944D33" w:rsidRDefault="005033F5" w:rsidP="005033F5">
      <w:pPr>
        <w:rPr>
          <w:rFonts w:asciiTheme="minorHAnsi" w:hAnsiTheme="minorHAnsi"/>
          <w:color w:val="auto"/>
          <w:lang w:val="hr-BA"/>
        </w:rPr>
      </w:pPr>
    </w:p>
    <w:p w:rsidR="005033F5" w:rsidRPr="00944D33" w:rsidRDefault="005033F5" w:rsidP="005033F5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Ciljani rezultati koji su utvrđeni S</w:t>
      </w:r>
      <w:r w:rsidR="00413D0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trateškim okvirom za period 2018. – 2020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 su sljedeći:</w:t>
      </w:r>
    </w:p>
    <w:p w:rsidR="005033F5" w:rsidRPr="00944D33" w:rsidRDefault="005033F5" w:rsidP="000357A8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352"/>
        <w:gridCol w:w="3354"/>
        <w:gridCol w:w="3354"/>
      </w:tblGrid>
      <w:tr w:rsidR="00295378" w:rsidRPr="00944D33" w:rsidTr="0029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:rsidR="005033F5" w:rsidRPr="00944D33" w:rsidRDefault="00413D03" w:rsidP="005033F5">
            <w:pPr>
              <w:jc w:val="center"/>
              <w:rPr>
                <w:rFonts w:asciiTheme="minorHAnsi" w:eastAsia="MS Gothic" w:hAnsiTheme="minorHAnsi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color w:val="auto"/>
                <w:lang w:val="hr-BA"/>
              </w:rPr>
              <w:t>2018</w:t>
            </w:r>
          </w:p>
        </w:tc>
        <w:tc>
          <w:tcPr>
            <w:tcW w:w="3387" w:type="dxa"/>
          </w:tcPr>
          <w:p w:rsidR="005033F5" w:rsidRPr="00944D33" w:rsidRDefault="00413D03" w:rsidP="005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color w:val="auto"/>
                <w:lang w:val="hr-BA"/>
              </w:rPr>
              <w:t>2019</w:t>
            </w:r>
          </w:p>
        </w:tc>
        <w:tc>
          <w:tcPr>
            <w:tcW w:w="3387" w:type="dxa"/>
          </w:tcPr>
          <w:p w:rsidR="005033F5" w:rsidRPr="00944D33" w:rsidRDefault="00413D03" w:rsidP="005033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color w:val="auto"/>
                <w:lang w:val="hr-BA"/>
              </w:rPr>
              <w:t>2020</w:t>
            </w:r>
          </w:p>
        </w:tc>
      </w:tr>
      <w:tr w:rsidR="00413D03" w:rsidRPr="00944D33" w:rsidTr="0029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</w:tcPr>
          <w:p w:rsidR="00413D03" w:rsidRPr="0069399A" w:rsidRDefault="00413D03" w:rsidP="00144E31">
            <w:pPr>
              <w:rPr>
                <w:lang w:val="hr-BA"/>
              </w:rPr>
            </w:pPr>
            <w:r w:rsidRPr="0069399A">
              <w:rPr>
                <w:lang w:val="hr-BA"/>
              </w:rPr>
              <w:t>U 2018. će se broj neriješenih starih KT predmeta starijih od dvije godine smanjiti za više od 50%, dok će se broj neriješenih svih starih predmeta starijih od dvije godine (što uključuje predmete koji su stekli status starog predmeta tokom 2018. godine) smanjiti za 10%</w:t>
            </w:r>
          </w:p>
        </w:tc>
        <w:tc>
          <w:tcPr>
            <w:tcW w:w="3387" w:type="dxa"/>
          </w:tcPr>
          <w:p w:rsidR="00413D03" w:rsidRPr="0069399A" w:rsidRDefault="00413D03" w:rsidP="00144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69399A">
              <w:rPr>
                <w:lang w:val="hr-BA"/>
              </w:rPr>
              <w:t>U 2019. će se broj neriješenih starih KT predmeta starijih od dvije godine smanjiti za više od 50%, dok će se broj neriješenih svih starih predmeta starijih od dvije godine smanjiti za 10%</w:t>
            </w:r>
          </w:p>
        </w:tc>
        <w:tc>
          <w:tcPr>
            <w:tcW w:w="3387" w:type="dxa"/>
          </w:tcPr>
          <w:p w:rsidR="00413D03" w:rsidRPr="0069399A" w:rsidRDefault="00413D03" w:rsidP="00144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BA"/>
              </w:rPr>
            </w:pPr>
            <w:r w:rsidRPr="0069399A">
              <w:rPr>
                <w:lang w:val="hr-BA"/>
              </w:rPr>
              <w:t>U 2020. će se broj neriješenih starih KT predmeta starijih od dvije godine smanjiti za više od 50%, dok će se broj neriješenih svih starih predmeta starijih od dvije godine smanjiti za 10%</w:t>
            </w:r>
          </w:p>
        </w:tc>
      </w:tr>
    </w:tbl>
    <w:p w:rsidR="008466D3" w:rsidRPr="00944D33" w:rsidRDefault="005033F5" w:rsidP="005033F5">
      <w:pPr>
        <w:rPr>
          <w:rFonts w:asciiTheme="minorHAnsi" w:hAnsiTheme="minorHAnsi"/>
          <w:color w:val="auto"/>
          <w:lang w:val="hr-BA"/>
        </w:rPr>
      </w:pPr>
      <w:r w:rsidRPr="00944D33">
        <w:rPr>
          <w:rFonts w:asciiTheme="minorHAnsi" w:hAnsiTheme="minorHAnsi"/>
          <w:color w:val="auto"/>
          <w:lang w:val="hr-BA"/>
        </w:rPr>
        <w:t xml:space="preserve"> </w:t>
      </w:r>
    </w:p>
    <w:p w:rsidR="005033F5" w:rsidRPr="00944D33" w:rsidRDefault="005033F5" w:rsidP="005033F5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Ako se uzmu podaci o broju neriješenih KT predmeta stariji</w:t>
      </w:r>
      <w:r w:rsidR="00413D0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h od dvije godine, onda je sa 31.12.2018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godine na nivou tužilačkog sistema Federacije BiH postignuto smanjenje broja neri</w:t>
      </w:r>
      <w:r w:rsidR="00413D0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ješenih KT starih predmeta od 64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% u odno</w:t>
      </w:r>
      <w:r w:rsidR="00413D0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su na broj zabilježen 31.12.2017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 godine.</w:t>
      </w:r>
    </w:p>
    <w:p w:rsidR="005033F5" w:rsidRPr="00944D33" w:rsidRDefault="005033F5" w:rsidP="000F4400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B44753" w:rsidRDefault="00B44753" w:rsidP="00B44753">
      <w:pPr>
        <w:jc w:val="center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>
        <w:rPr>
          <w:noProof/>
        </w:rPr>
        <w:drawing>
          <wp:inline distT="0" distB="0" distL="0" distR="0" wp14:anchorId="0F5F0B40" wp14:editId="34AB62D8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067B" w:rsidRDefault="00B44753" w:rsidP="00B44753">
      <w:pPr>
        <w:jc w:val="center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Grafikon br.1 pregled rješavanja starih KT predmeta</w:t>
      </w:r>
    </w:p>
    <w:p w:rsidR="00B44753" w:rsidRDefault="00B44753" w:rsidP="00B44753">
      <w:pPr>
        <w:jc w:val="center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B44753" w:rsidRDefault="00B44753" w:rsidP="000F4400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B44753" w:rsidRPr="00944D33" w:rsidRDefault="00B44753" w:rsidP="000F4400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A5067B" w:rsidRPr="00944D33" w:rsidRDefault="00A5067B" w:rsidP="00A5067B">
      <w:pPr>
        <w:jc w:val="center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907A5A" w:rsidRPr="00944D33" w:rsidRDefault="00907A5A" w:rsidP="000F4400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852396" w:rsidRDefault="00B44753" w:rsidP="0085239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Pored smanjenja broja starih predmeta po ovom osnovu također se prati i broj starih predmeta koji su u međuvremenu stekli status starog predmeta.</w:t>
      </w:r>
    </w:p>
    <w:p w:rsidR="003C1EDC" w:rsidRDefault="003C1EDC" w:rsidP="0085239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3C1EDC" w:rsidRDefault="003C1EDC" w:rsidP="0085239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3C1EDC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Ako se posmatra kretanje broja svih neriješenih starih KT predmeta tokom godina, na nivou tužilačkog sistema Federacije BiH je došlo do smanjenja broja starih neriješenih KT predmeta i to za 18% u 2017. u odnosu na 2016. i, kao što je ranije rečeno, 18% u 2018. u odnosu na 2017. godinu. Ova kretanja su vidljiva i na grafikonu broj prikazanom u nastavku</w:t>
      </w:r>
    </w:p>
    <w:p w:rsidR="003C1EDC" w:rsidRDefault="003C1EDC" w:rsidP="0085239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B44753" w:rsidRDefault="003C1EDC" w:rsidP="0085239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>
        <w:rPr>
          <w:noProof/>
        </w:rPr>
        <w:drawing>
          <wp:inline distT="0" distB="0" distL="0" distR="0" wp14:anchorId="5BD5B690" wp14:editId="30C9AB19">
            <wp:extent cx="6117021" cy="1713186"/>
            <wp:effectExtent l="0" t="0" r="17145" b="2095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3A5E" w:rsidRPr="00944D33" w:rsidRDefault="00DC3A5E" w:rsidP="00852396">
      <w:pPr>
        <w:jc w:val="both"/>
        <w:rPr>
          <w:rFonts w:asciiTheme="minorHAnsi" w:hAnsiTheme="minorHAnsi"/>
          <w:color w:val="auto"/>
          <w:lang w:val="hr-BA"/>
        </w:rPr>
      </w:pPr>
    </w:p>
    <w:p w:rsidR="00A5067B" w:rsidRPr="00944D33" w:rsidRDefault="00573CFE" w:rsidP="00B50865">
      <w:pPr>
        <w:pStyle w:val="Heading3"/>
      </w:pPr>
      <w:bookmarkStart w:id="37" w:name="_Toc344495161"/>
      <w:r w:rsidRPr="00944D33">
        <w:t xml:space="preserve">Ciljani rezultat 1.2 – </w:t>
      </w:r>
      <w:r w:rsidR="00866373" w:rsidRPr="00944D33">
        <w:t>Smanjiti</w:t>
      </w:r>
      <w:r w:rsidRPr="00944D33">
        <w:t xml:space="preserve"> b</w:t>
      </w:r>
      <w:r w:rsidR="00A5067B" w:rsidRPr="00944D33">
        <w:t>roj neriješenih KTA predmeta starijih od dvije godine</w:t>
      </w:r>
      <w:bookmarkEnd w:id="37"/>
    </w:p>
    <w:p w:rsidR="000F4400" w:rsidRPr="00944D33" w:rsidRDefault="000F4400" w:rsidP="000F4400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852396" w:rsidRPr="00944D33" w:rsidRDefault="00852396" w:rsidP="0085239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Ciljani rezultati koji su utvrđeni S</w:t>
      </w:r>
      <w:r w:rsidR="003C1EDC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trateškim okvirom za period 2018. – 2020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3C1EDC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godina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su sljedeći:</w:t>
      </w:r>
    </w:p>
    <w:p w:rsidR="00852396" w:rsidRPr="00944D33" w:rsidRDefault="00852396" w:rsidP="00852396">
      <w:pPr>
        <w:jc w:val="both"/>
        <w:rPr>
          <w:rFonts w:asciiTheme="minorHAnsi" w:hAnsiTheme="minorHAnsi"/>
          <w:color w:val="auto"/>
          <w:lang w:val="hr-BA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352"/>
        <w:gridCol w:w="3354"/>
        <w:gridCol w:w="3354"/>
      </w:tblGrid>
      <w:tr w:rsidR="00295378" w:rsidRPr="00944D33" w:rsidTr="001A1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852396" w:rsidRPr="00944D33" w:rsidRDefault="003C1EDC" w:rsidP="004730A1">
            <w:pPr>
              <w:jc w:val="center"/>
              <w:rPr>
                <w:rFonts w:asciiTheme="minorHAnsi" w:eastAsia="MS Gothic" w:hAnsiTheme="minorHAnsi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color w:val="auto"/>
                <w:lang w:val="hr-BA"/>
              </w:rPr>
              <w:t>2018</w:t>
            </w:r>
          </w:p>
        </w:tc>
        <w:tc>
          <w:tcPr>
            <w:tcW w:w="3432" w:type="dxa"/>
          </w:tcPr>
          <w:p w:rsidR="00852396" w:rsidRPr="00944D33" w:rsidRDefault="003C1EDC" w:rsidP="00473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color w:val="auto"/>
                <w:lang w:val="hr-BA"/>
              </w:rPr>
              <w:t>2019</w:t>
            </w:r>
          </w:p>
        </w:tc>
        <w:tc>
          <w:tcPr>
            <w:tcW w:w="3432" w:type="dxa"/>
          </w:tcPr>
          <w:p w:rsidR="00852396" w:rsidRPr="00944D33" w:rsidRDefault="003C1EDC" w:rsidP="00473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color w:val="auto"/>
                <w:lang w:val="hr-BA"/>
              </w:rPr>
              <w:t>2020</w:t>
            </w:r>
          </w:p>
        </w:tc>
      </w:tr>
      <w:tr w:rsidR="003C1EDC" w:rsidRPr="003C1EDC" w:rsidTr="001A1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3C1EDC" w:rsidRPr="003C1EDC" w:rsidRDefault="003C1EDC" w:rsidP="00144E31">
            <w:pPr>
              <w:rPr>
                <w:lang w:val="hr-BA"/>
              </w:rPr>
            </w:pPr>
            <w:r w:rsidRPr="003C1EDC">
              <w:rPr>
                <w:lang w:val="hr-BA"/>
              </w:rPr>
              <w:t>U 2018. će se broj neriješenih starih KTA predmeta starijih od dvije godine smanjiti za više od 50%, dok će se broj neriješenih svih starih predmeta starijih od dvije godine (što uključuje predmete koji su stekli status starog predmeta tokom 2018. godine) smanjiti za 10%</w:t>
            </w:r>
          </w:p>
        </w:tc>
        <w:tc>
          <w:tcPr>
            <w:tcW w:w="3432" w:type="dxa"/>
          </w:tcPr>
          <w:p w:rsidR="003C1EDC" w:rsidRPr="003C1EDC" w:rsidRDefault="003C1EDC" w:rsidP="00144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</w:pPr>
            <w:r w:rsidRPr="003C1EDC"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  <w:t>U 2019. će se broj neriješenih starih KTA predmeta starijih od dvije godine smanjiti za više od 50%, dok će se broj neriješenih svih starih predmeta starijih od dvije godine smanjiti za 10%</w:t>
            </w:r>
          </w:p>
        </w:tc>
        <w:tc>
          <w:tcPr>
            <w:tcW w:w="3432" w:type="dxa"/>
          </w:tcPr>
          <w:p w:rsidR="003C1EDC" w:rsidRPr="003C1EDC" w:rsidRDefault="003C1EDC" w:rsidP="00144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</w:pPr>
            <w:r w:rsidRPr="003C1EDC"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  <w:t>U 2020. će se broj neriješenih starih KTA predmeta starijih od dvije godine smanjiti za više od 50%, dok će se broj neriješenih svih starih predmeta starijih od dvije godine smanjiti za 10%</w:t>
            </w:r>
          </w:p>
        </w:tc>
      </w:tr>
    </w:tbl>
    <w:p w:rsidR="00852396" w:rsidRPr="000834D9" w:rsidRDefault="00852396" w:rsidP="00852396">
      <w:pPr>
        <w:rPr>
          <w:rFonts w:asciiTheme="minorHAnsi" w:hAnsiTheme="minorHAnsi"/>
          <w:color w:val="auto"/>
          <w:lang w:val="hr-BA"/>
        </w:rPr>
      </w:pPr>
      <w:r w:rsidRPr="00944D33">
        <w:rPr>
          <w:rFonts w:asciiTheme="minorHAnsi" w:hAnsiTheme="minorHAnsi"/>
          <w:color w:val="auto"/>
          <w:lang w:val="hr-BA"/>
        </w:rPr>
        <w:t xml:space="preserve"> </w:t>
      </w:r>
    </w:p>
    <w:p w:rsidR="00F97FA9" w:rsidRPr="000834D9" w:rsidRDefault="00A5067B" w:rsidP="0085239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Što se tiče KTA predmeta stariji</w:t>
      </w:r>
      <w:r w:rsidR="000834D9"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h od dvije godine bilo je 225 što je smanjene od 77</w:t>
      </w:r>
      <w:r w:rsidR="00852396"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% u odn</w:t>
      </w:r>
      <w:r w:rsidR="000834D9"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osu na broj koji je zatečen na 01</w:t>
      </w:r>
      <w:r w:rsidR="00852396"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0834D9"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0</w:t>
      </w:r>
      <w:r w:rsidR="00852396"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1</w:t>
      </w:r>
      <w:r w:rsidR="000834D9"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.2018</w:t>
      </w:r>
      <w:r w:rsidR="00852396"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 godine</w:t>
      </w:r>
      <w:r w:rsidR="000834D9"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, kada je bilo  1.116 ner</w:t>
      </w:r>
      <w:r w:rsid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i</w:t>
      </w:r>
      <w:r w:rsidR="000834D9"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ješenih </w:t>
      </w:r>
      <w:r w:rsid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starih KTA predmeta</w:t>
      </w:r>
      <w:r w:rsidR="00852396" w:rsidRPr="000834D9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. </w:t>
      </w:r>
    </w:p>
    <w:p w:rsidR="00AC6D9C" w:rsidRPr="000834D9" w:rsidRDefault="00AC6D9C" w:rsidP="000F4400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AC6D9C" w:rsidRPr="000834D9" w:rsidRDefault="00AC6D9C" w:rsidP="00AC6D9C">
      <w:pPr>
        <w:jc w:val="center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4127F7" w:rsidRPr="000834D9" w:rsidRDefault="004127F7" w:rsidP="004730A1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0D03A4" w:rsidRDefault="00144E31" w:rsidP="004730A1">
      <w:pPr>
        <w:jc w:val="both"/>
        <w:rPr>
          <w:rFonts w:asciiTheme="minorHAnsi" w:hAnsiTheme="minorHAnsi"/>
          <w:color w:val="auto"/>
          <w:lang w:val="hr-BA"/>
        </w:rPr>
      </w:pPr>
      <w:r>
        <w:rPr>
          <w:noProof/>
        </w:rPr>
        <w:drawing>
          <wp:inline distT="0" distB="0" distL="0" distR="0" wp14:anchorId="040CAC20" wp14:editId="63E1E0E3">
            <wp:extent cx="6074980" cy="2942897"/>
            <wp:effectExtent l="0" t="0" r="21590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4E31" w:rsidRPr="000834D9" w:rsidRDefault="00144E31" w:rsidP="004730A1">
      <w:pPr>
        <w:jc w:val="both"/>
        <w:rPr>
          <w:rFonts w:asciiTheme="minorHAnsi" w:hAnsiTheme="minorHAnsi"/>
          <w:color w:val="auto"/>
          <w:lang w:val="hr-BA"/>
        </w:rPr>
      </w:pPr>
    </w:p>
    <w:p w:rsidR="003D5844" w:rsidRDefault="003D5844" w:rsidP="003D5844">
      <w:pPr>
        <w:spacing w:line="240" w:lineRule="auto"/>
        <w:jc w:val="both"/>
        <w:rPr>
          <w:rFonts w:asciiTheme="minorHAnsi" w:hAnsiTheme="minorHAnsi"/>
          <w:color w:val="auto"/>
          <w:lang w:val="hr-BA"/>
        </w:rPr>
      </w:pPr>
      <w:r w:rsidRPr="003D5844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Ako se posmatra kretanje broja neriješenih starih KTA predmeta tokom godina, na nivou tužilačkog sistema Federacije BiH je došlo do smanjenja broja starih neriješenih KTA predmeta i to za 22% u 2017. godini u odnosu na 2016. godinu i 12% u 2018. godini u odnosu na 2017. godini Ova kretanja su vidljiva na grafikonu prikazano ispod</w:t>
      </w:r>
      <w:r w:rsidRPr="003D5844">
        <w:rPr>
          <w:rFonts w:asciiTheme="minorHAnsi" w:hAnsiTheme="minorHAnsi"/>
          <w:color w:val="auto"/>
          <w:lang w:val="hr-BA"/>
        </w:rPr>
        <w:t>:</w:t>
      </w:r>
    </w:p>
    <w:p w:rsidR="003D5844" w:rsidRDefault="003D5844">
      <w:pPr>
        <w:spacing w:line="240" w:lineRule="auto"/>
        <w:rPr>
          <w:rFonts w:asciiTheme="minorHAnsi" w:hAnsiTheme="minorHAnsi"/>
          <w:color w:val="auto"/>
          <w:lang w:val="hr-BA"/>
        </w:rPr>
      </w:pPr>
    </w:p>
    <w:p w:rsidR="003D5844" w:rsidRDefault="003D5844">
      <w:pPr>
        <w:spacing w:line="240" w:lineRule="auto"/>
        <w:rPr>
          <w:rFonts w:asciiTheme="minorHAnsi" w:hAnsiTheme="minorHAnsi"/>
          <w:color w:val="auto"/>
          <w:lang w:val="hr-BA"/>
        </w:rPr>
      </w:pPr>
    </w:p>
    <w:p w:rsidR="001A1753" w:rsidRPr="000834D9" w:rsidRDefault="003D5844">
      <w:pPr>
        <w:spacing w:line="240" w:lineRule="auto"/>
        <w:rPr>
          <w:rFonts w:asciiTheme="minorHAnsi" w:hAnsiTheme="minorHAnsi"/>
          <w:b/>
          <w:bCs/>
          <w:color w:val="auto"/>
          <w:spacing w:val="0"/>
          <w:sz w:val="26"/>
          <w:szCs w:val="26"/>
          <w:lang w:val="hr-BA"/>
        </w:rPr>
      </w:pPr>
      <w:r>
        <w:rPr>
          <w:noProof/>
        </w:rPr>
        <w:drawing>
          <wp:inline distT="0" distB="0" distL="0" distR="0" wp14:anchorId="555251B1" wp14:editId="5214E3FE">
            <wp:extent cx="6169573" cy="1608083"/>
            <wp:effectExtent l="0" t="0" r="22225" b="114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1A1753" w:rsidRPr="000834D9">
        <w:rPr>
          <w:rFonts w:asciiTheme="minorHAnsi" w:hAnsiTheme="minorHAnsi"/>
          <w:color w:val="auto"/>
          <w:lang w:val="hr-BA"/>
        </w:rPr>
        <w:br w:type="page"/>
      </w:r>
    </w:p>
    <w:p w:rsidR="00573CFE" w:rsidRPr="00944D33" w:rsidRDefault="00573CFE" w:rsidP="00573CFE">
      <w:pPr>
        <w:pStyle w:val="Heading2"/>
        <w:rPr>
          <w:rFonts w:asciiTheme="minorHAnsi" w:hAnsiTheme="minorHAnsi"/>
          <w:color w:val="auto"/>
          <w:lang w:val="hr-BA"/>
        </w:rPr>
      </w:pPr>
      <w:bookmarkStart w:id="38" w:name="_Toc502136572"/>
      <w:r w:rsidRPr="00944D33">
        <w:rPr>
          <w:rFonts w:asciiTheme="minorHAnsi" w:hAnsiTheme="minorHAnsi"/>
          <w:color w:val="auto"/>
          <w:lang w:val="hr-BA"/>
        </w:rPr>
        <w:t xml:space="preserve">Realizacija strateškog cilja 2: Povećati efikasnost </w:t>
      </w:r>
      <w:r w:rsidR="00E76821" w:rsidRPr="00944D33">
        <w:rPr>
          <w:rFonts w:asciiTheme="minorHAnsi" w:hAnsiTheme="minorHAnsi"/>
          <w:color w:val="auto"/>
          <w:lang w:val="hr-BA"/>
        </w:rPr>
        <w:t>i</w:t>
      </w:r>
      <w:r w:rsidRPr="00944D33">
        <w:rPr>
          <w:rFonts w:asciiTheme="minorHAnsi" w:hAnsiTheme="minorHAnsi"/>
          <w:color w:val="auto"/>
          <w:lang w:val="hr-BA"/>
        </w:rPr>
        <w:t xml:space="preserve"> kvalitet u radu tužilaštava</w:t>
      </w:r>
      <w:bookmarkEnd w:id="38"/>
    </w:p>
    <w:p w:rsidR="00573CFE" w:rsidRPr="00944D33" w:rsidRDefault="00573CFE" w:rsidP="00B50865">
      <w:pPr>
        <w:pStyle w:val="Heading3"/>
      </w:pPr>
      <w:bookmarkStart w:id="39" w:name="_Toc344495163"/>
      <w:r w:rsidRPr="00944D33">
        <w:t xml:space="preserve">Ciljani rezultat </w:t>
      </w:r>
      <w:r w:rsidR="00E76821" w:rsidRPr="00944D33">
        <w:t>2.1 – Skratiti prosječnu dužinu trajanja predmeta</w:t>
      </w:r>
      <w:bookmarkEnd w:id="39"/>
    </w:p>
    <w:p w:rsidR="000D03A4" w:rsidRPr="00944D33" w:rsidRDefault="000D03A4" w:rsidP="000D03A4">
      <w:pPr>
        <w:rPr>
          <w:rFonts w:asciiTheme="minorHAnsi" w:hAnsiTheme="minorHAnsi"/>
          <w:color w:val="auto"/>
          <w:lang w:val="hr-BA"/>
        </w:rPr>
      </w:pPr>
    </w:p>
    <w:p w:rsidR="000D03A4" w:rsidRPr="00944D33" w:rsidRDefault="000D03A4" w:rsidP="001A1753">
      <w:pPr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Ciljani rezultati koji su utvrđeni S</w:t>
      </w:r>
      <w:r w:rsidR="00C012B4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trateškim okvirom za period 2018. – 2020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. su sljedeći: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337"/>
        <w:gridCol w:w="3338"/>
        <w:gridCol w:w="3338"/>
      </w:tblGrid>
      <w:tr w:rsidR="00295378" w:rsidRPr="00944D33" w:rsidTr="0029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0D03A4" w:rsidRPr="00944D33" w:rsidRDefault="003D5844" w:rsidP="000D03A4">
            <w:pPr>
              <w:jc w:val="center"/>
              <w:rPr>
                <w:rFonts w:asciiTheme="minorHAnsi" w:eastAsia="MS Gothic" w:hAnsiTheme="minorHAnsi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color w:val="auto"/>
                <w:lang w:val="hr-BA"/>
              </w:rPr>
              <w:t>2018</w:t>
            </w:r>
          </w:p>
        </w:tc>
        <w:tc>
          <w:tcPr>
            <w:tcW w:w="3338" w:type="dxa"/>
          </w:tcPr>
          <w:p w:rsidR="000D03A4" w:rsidRPr="00944D33" w:rsidRDefault="003D5844" w:rsidP="000D0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color w:val="auto"/>
                <w:lang w:val="hr-BA"/>
              </w:rPr>
              <w:t>2019</w:t>
            </w:r>
          </w:p>
        </w:tc>
        <w:tc>
          <w:tcPr>
            <w:tcW w:w="3338" w:type="dxa"/>
          </w:tcPr>
          <w:p w:rsidR="000D03A4" w:rsidRPr="00944D33" w:rsidRDefault="003D5844" w:rsidP="000D0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color w:val="auto"/>
                <w:lang w:val="hr-BA"/>
              </w:rPr>
              <w:t>2020</w:t>
            </w:r>
          </w:p>
        </w:tc>
      </w:tr>
      <w:tr w:rsidR="00295378" w:rsidRPr="00944D33" w:rsidTr="0029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0D03A4" w:rsidRPr="00944D33" w:rsidRDefault="000D03A4" w:rsidP="000D03A4">
            <w:pPr>
              <w:jc w:val="center"/>
              <w:rPr>
                <w:rFonts w:asciiTheme="minorHAnsi" w:hAnsiTheme="minorHAnsi"/>
                <w:bCs w:val="0"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bCs w:val="0"/>
                <w:color w:val="auto"/>
                <w:lang w:val="hr-BA"/>
              </w:rPr>
              <w:t>220</w:t>
            </w:r>
          </w:p>
        </w:tc>
        <w:tc>
          <w:tcPr>
            <w:tcW w:w="3338" w:type="dxa"/>
          </w:tcPr>
          <w:p w:rsidR="000D03A4" w:rsidRPr="00944D33" w:rsidRDefault="000D03A4" w:rsidP="000D0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lang w:val="hr-BA"/>
              </w:rPr>
              <w:t>200</w:t>
            </w:r>
          </w:p>
        </w:tc>
        <w:tc>
          <w:tcPr>
            <w:tcW w:w="3338" w:type="dxa"/>
          </w:tcPr>
          <w:p w:rsidR="000D03A4" w:rsidRPr="00944D33" w:rsidRDefault="000D03A4" w:rsidP="000D0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lang w:val="hr-BA"/>
              </w:rPr>
              <w:t>180</w:t>
            </w:r>
          </w:p>
        </w:tc>
      </w:tr>
    </w:tbl>
    <w:p w:rsidR="000D03A4" w:rsidRPr="00944D33" w:rsidRDefault="000D03A4" w:rsidP="001A1753">
      <w:pPr>
        <w:rPr>
          <w:rFonts w:asciiTheme="minorHAnsi" w:hAnsiTheme="minorHAnsi"/>
          <w:color w:val="auto"/>
          <w:lang w:val="hr-BA"/>
        </w:rPr>
      </w:pPr>
      <w:r w:rsidRPr="00944D33">
        <w:rPr>
          <w:rFonts w:asciiTheme="minorHAnsi" w:hAnsiTheme="minorHAnsi"/>
          <w:color w:val="auto"/>
          <w:lang w:val="hr-BA"/>
        </w:rPr>
        <w:t xml:space="preserve"> </w:t>
      </w:r>
    </w:p>
    <w:p w:rsidR="00E76821" w:rsidRPr="00944D33" w:rsidRDefault="00E76821" w:rsidP="000D03A4">
      <w:pPr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Prosječna dužina trajanja predmeta je pokazatelj efikasnosti rada tužilaštava i po tom pokazatelju, na nivou svih tužilaštava u Federaciji BiH </w:t>
      </w:r>
      <w:r w:rsidR="00762EE8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je u toku 2018</w:t>
      </w:r>
      <w:r w:rsidR="000D03A4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. god</w:t>
      </w:r>
      <w:r w:rsidR="00762EE8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ine došlo do smanjenja prosječne</w:t>
      </w:r>
      <w:r w:rsidR="000D03A4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dužine trajanja predmeta </w:t>
      </w:r>
      <w:r w:rsidR="00762EE8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sa 266 na 230</w:t>
      </w:r>
      <w:r w:rsidR="000D03A4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dana.</w:t>
      </w:r>
    </w:p>
    <w:p w:rsidR="00E76821" w:rsidRDefault="00762EE8" w:rsidP="00762EE8">
      <w:pPr>
        <w:rPr>
          <w:rFonts w:asciiTheme="minorHAnsi" w:hAnsiTheme="minorHAnsi"/>
          <w:noProof/>
          <w:color w:val="auto"/>
          <w:lang w:bidi="as-IN"/>
        </w:rPr>
      </w:pPr>
      <w:r>
        <w:rPr>
          <w:rFonts w:asciiTheme="minorHAnsi" w:hAnsiTheme="minorHAnsi"/>
          <w:noProof/>
          <w:color w:val="auto"/>
          <w:lang w:bidi="as-IN"/>
        </w:rPr>
        <w:t xml:space="preserve"> </w:t>
      </w:r>
    </w:p>
    <w:p w:rsidR="00762EE8" w:rsidRPr="00944D33" w:rsidRDefault="006E1E73" w:rsidP="00762EE8">
      <w:pPr>
        <w:rPr>
          <w:rFonts w:asciiTheme="minorHAnsi" w:hAnsiTheme="minorHAnsi"/>
          <w:color w:val="auto"/>
          <w:sz w:val="24"/>
          <w:szCs w:val="24"/>
          <w:lang w:val="hr-BA"/>
        </w:rPr>
      </w:pPr>
      <w:r>
        <w:rPr>
          <w:noProof/>
        </w:rPr>
        <w:drawing>
          <wp:inline distT="0" distB="0" distL="0" distR="0" wp14:anchorId="01CE27BE" wp14:editId="15D08DDC">
            <wp:extent cx="6337738" cy="1986455"/>
            <wp:effectExtent l="0" t="0" r="25400" b="1397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127F7" w:rsidRPr="00944D33" w:rsidRDefault="004127F7" w:rsidP="00AC2C6D">
      <w:pPr>
        <w:pStyle w:val="Caption"/>
        <w:jc w:val="both"/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</w:pPr>
    </w:p>
    <w:p w:rsidR="005F67D0" w:rsidRPr="00944D33" w:rsidRDefault="006E1E73" w:rsidP="00AC2C6D">
      <w:pPr>
        <w:pStyle w:val="Caption"/>
        <w:jc w:val="both"/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</w:pPr>
      <w:r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  <w:t>U nastavku je prikazana prosječna dužina trajanja po pojedinačnim tužilaštvima u FBiH.</w:t>
      </w:r>
    </w:p>
    <w:p w:rsidR="005F67D0" w:rsidRPr="00944D33" w:rsidRDefault="006E1E73" w:rsidP="000D03A4">
      <w:pPr>
        <w:jc w:val="center"/>
        <w:rPr>
          <w:rFonts w:asciiTheme="minorHAnsi" w:hAnsiTheme="minorHAnsi"/>
          <w:color w:val="auto"/>
          <w:lang w:val="hr-BA"/>
        </w:rPr>
      </w:pPr>
      <w:r>
        <w:rPr>
          <w:noProof/>
        </w:rPr>
        <w:drawing>
          <wp:inline distT="0" distB="0" distL="0" distR="0" wp14:anchorId="1EB78884" wp14:editId="12D1905E">
            <wp:extent cx="6222124" cy="2921876"/>
            <wp:effectExtent l="0" t="0" r="26670" b="1206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2C6D" w:rsidRPr="00944D33" w:rsidRDefault="00AC2C6D" w:rsidP="00E76821">
      <w:pPr>
        <w:pStyle w:val="Caption"/>
        <w:jc w:val="both"/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</w:pPr>
    </w:p>
    <w:p w:rsidR="009A02AC" w:rsidRDefault="000D4F3F" w:rsidP="00AC2C6D">
      <w:pPr>
        <w:pStyle w:val="Caption"/>
        <w:jc w:val="both"/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  <w:t>Međutim, mora se naglasiti da je r</w:t>
      </w:r>
      <w:r w:rsidR="00E76821" w:rsidRPr="00944D33"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  <w:t xml:space="preserve">ealizacija ovog ciljanog rezultata usko vezan za </w:t>
      </w:r>
      <w:r w:rsidR="00866373" w:rsidRPr="00944D33"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  <w:t>realizaciju</w:t>
      </w:r>
      <w:r w:rsidR="00E76821" w:rsidRPr="00944D33"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  <w:t xml:space="preserve"> ciljanih rezultata koji se tiču smanjenja broja starih KT i KTA predmeta, drugim riječima ukoliko se nastavi trend smanjenja broja predmeta starijih od dvije godine, tako će doći i do skraćivanja du</w:t>
      </w:r>
      <w:r w:rsidR="00AC2C6D" w:rsidRPr="00944D33"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  <w:t xml:space="preserve">žine trajanja predmeta. </w:t>
      </w:r>
    </w:p>
    <w:p w:rsidR="006E300E" w:rsidRPr="006E300E" w:rsidRDefault="006E300E" w:rsidP="006E300E">
      <w:pPr>
        <w:rPr>
          <w:lang w:val="hr-BA"/>
        </w:rPr>
      </w:pPr>
    </w:p>
    <w:p w:rsidR="004127F7" w:rsidRDefault="00FD089B" w:rsidP="006E1E73">
      <w:pPr>
        <w:pStyle w:val="Heading3"/>
        <w:rPr>
          <w:rFonts w:ascii="Times New Roman" w:hAnsi="Times New Roman"/>
          <w:lang w:val="hr-HR"/>
        </w:rPr>
      </w:pPr>
      <w:bookmarkStart w:id="40" w:name="_Toc344495164"/>
      <w:r w:rsidRPr="00944D33">
        <w:t xml:space="preserve">Ciljani rezultat 2.2 – </w:t>
      </w:r>
      <w:bookmarkEnd w:id="40"/>
      <w:r w:rsidR="006E1E73" w:rsidRPr="00A76891">
        <w:rPr>
          <w:rFonts w:ascii="Times New Roman" w:hAnsi="Times New Roman"/>
          <w:lang w:val="hr-HR"/>
        </w:rPr>
        <w:t xml:space="preserve">Povećati omjer osuđujućih presuda u odnosu na </w:t>
      </w:r>
      <w:r w:rsidR="006E1E73">
        <w:rPr>
          <w:rFonts w:ascii="Times New Roman" w:hAnsi="Times New Roman"/>
          <w:lang w:val="hr-HR"/>
        </w:rPr>
        <w:t>ukupan broj presuda</w:t>
      </w:r>
    </w:p>
    <w:p w:rsidR="006E1E73" w:rsidRPr="006E1E73" w:rsidRDefault="006E1E73" w:rsidP="006E1E73">
      <w:pPr>
        <w:rPr>
          <w:lang w:val="hr-HR"/>
        </w:rPr>
      </w:pPr>
    </w:p>
    <w:p w:rsidR="00AC2C6D" w:rsidRPr="00944D33" w:rsidRDefault="00AC2C6D" w:rsidP="00295378">
      <w:pPr>
        <w:pStyle w:val="Caption"/>
        <w:jc w:val="both"/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</w:pPr>
      <w:r w:rsidRPr="00944D33"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  <w:t>Ciljani rezultati koji su utvrđeni S</w:t>
      </w:r>
      <w:r w:rsidR="006E1E73"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  <w:t>trateškim okvirom za period 2018. – 2020</w:t>
      </w:r>
      <w:r w:rsidRPr="00944D33"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  <w:t>.</w:t>
      </w:r>
      <w:r w:rsidR="006E1E73"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  <w:t xml:space="preserve"> godina</w:t>
      </w:r>
      <w:r w:rsidRPr="00944D33">
        <w:rPr>
          <w:rFonts w:asciiTheme="minorHAnsi" w:hAnsiTheme="minorHAnsi"/>
          <w:b w:val="0"/>
          <w:bCs w:val="0"/>
          <w:color w:val="auto"/>
          <w:spacing w:val="0"/>
          <w:sz w:val="24"/>
          <w:lang w:val="hr-BA"/>
        </w:rPr>
        <w:t xml:space="preserve"> su sljedeći: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3224"/>
        <w:gridCol w:w="3225"/>
        <w:gridCol w:w="3225"/>
      </w:tblGrid>
      <w:tr w:rsidR="006624A0" w:rsidRPr="00A76891" w:rsidTr="00662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</w:tcPr>
          <w:p w:rsidR="006624A0" w:rsidRPr="00A76891" w:rsidRDefault="006624A0" w:rsidP="00E7532A">
            <w:pPr>
              <w:jc w:val="center"/>
              <w:rPr>
                <w:rFonts w:ascii="Times New Roman" w:eastAsia="MS Gothic" w:hAnsi="Times New Roman"/>
                <w:b w:val="0"/>
                <w:bCs w:val="0"/>
                <w:szCs w:val="20"/>
                <w:lang w:val="hr-HR"/>
              </w:rPr>
            </w:pPr>
            <w:r w:rsidRPr="00A76891">
              <w:rPr>
                <w:rFonts w:ascii="Times New Roman" w:eastAsia="MS Gothic" w:hAnsi="Times New Roman"/>
                <w:szCs w:val="20"/>
                <w:lang w:val="hr-HR"/>
              </w:rPr>
              <w:t>2018</w:t>
            </w:r>
          </w:p>
        </w:tc>
        <w:tc>
          <w:tcPr>
            <w:tcW w:w="3225" w:type="dxa"/>
          </w:tcPr>
          <w:p w:rsidR="006624A0" w:rsidRPr="00A76891" w:rsidRDefault="006624A0" w:rsidP="00E75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/>
                <w:b w:val="0"/>
                <w:bCs w:val="0"/>
                <w:szCs w:val="20"/>
                <w:lang w:val="hr-HR"/>
              </w:rPr>
            </w:pPr>
            <w:r w:rsidRPr="00A76891">
              <w:rPr>
                <w:rFonts w:ascii="Times New Roman" w:eastAsia="MS Gothic" w:hAnsi="Times New Roman"/>
                <w:szCs w:val="20"/>
                <w:lang w:val="hr-HR"/>
              </w:rPr>
              <w:t>2019</w:t>
            </w:r>
          </w:p>
        </w:tc>
        <w:tc>
          <w:tcPr>
            <w:tcW w:w="3225" w:type="dxa"/>
          </w:tcPr>
          <w:p w:rsidR="006624A0" w:rsidRPr="00A76891" w:rsidRDefault="006624A0" w:rsidP="00E75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Gothic" w:hAnsi="Times New Roman"/>
                <w:b w:val="0"/>
                <w:bCs w:val="0"/>
                <w:szCs w:val="20"/>
                <w:lang w:val="hr-HR"/>
              </w:rPr>
            </w:pPr>
            <w:r w:rsidRPr="00A76891">
              <w:rPr>
                <w:rFonts w:ascii="Times New Roman" w:eastAsia="MS Gothic" w:hAnsi="Times New Roman"/>
                <w:szCs w:val="20"/>
                <w:lang w:val="hr-HR"/>
              </w:rPr>
              <w:t>2020</w:t>
            </w:r>
          </w:p>
        </w:tc>
      </w:tr>
      <w:tr w:rsidR="006624A0" w:rsidRPr="00A76891" w:rsidTr="00662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</w:tcPr>
          <w:p w:rsidR="006624A0" w:rsidRPr="006624A0" w:rsidRDefault="006624A0" w:rsidP="00E7532A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lang w:val="hr-BA"/>
              </w:rPr>
            </w:pPr>
            <w:r w:rsidRPr="006624A0">
              <w:rPr>
                <w:rFonts w:asciiTheme="majorHAnsi" w:eastAsiaTheme="majorEastAsia" w:hAnsiTheme="majorHAnsi" w:cstheme="majorBidi"/>
                <w:b w:val="0"/>
                <w:lang w:val="hr-BA"/>
              </w:rPr>
              <w:t xml:space="preserve">U predmetima općeg kriminala osigurati da učešće osuđujućih presuda bude iznad 95% u odnosu na ukupan broj presuda </w:t>
            </w:r>
          </w:p>
        </w:tc>
        <w:tc>
          <w:tcPr>
            <w:tcW w:w="3225" w:type="dxa"/>
          </w:tcPr>
          <w:p w:rsidR="006624A0" w:rsidRPr="006624A0" w:rsidRDefault="006624A0" w:rsidP="00E7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</w:pPr>
            <w:r w:rsidRPr="006624A0"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  <w:t>U predmetima općeg kriminala osigurati da učešće osuđujućih presuda bude iznad 95% u odnosu na ukupan broj presuda</w:t>
            </w:r>
          </w:p>
        </w:tc>
        <w:tc>
          <w:tcPr>
            <w:tcW w:w="3225" w:type="dxa"/>
          </w:tcPr>
          <w:p w:rsidR="006624A0" w:rsidRPr="006624A0" w:rsidRDefault="006624A0" w:rsidP="00E7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</w:pPr>
            <w:r w:rsidRPr="006624A0"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  <w:t>U predmetima općeg kriminala osigurati da učešće osuđujućih presuda bude iznad 95% u odnosu na ukupan broj presuda</w:t>
            </w:r>
          </w:p>
        </w:tc>
      </w:tr>
      <w:tr w:rsidR="006624A0" w:rsidRPr="00A76891" w:rsidTr="006624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</w:tcPr>
          <w:p w:rsidR="006624A0" w:rsidRPr="006624A0" w:rsidRDefault="006624A0" w:rsidP="00E7532A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lang w:val="hr-BA"/>
              </w:rPr>
            </w:pPr>
            <w:r w:rsidRPr="006624A0">
              <w:rPr>
                <w:rFonts w:asciiTheme="majorHAnsi" w:eastAsiaTheme="majorEastAsia" w:hAnsiTheme="majorHAnsi" w:cstheme="majorBidi"/>
                <w:b w:val="0"/>
                <w:lang w:val="hr-BA"/>
              </w:rPr>
              <w:t>U predmetima privrednog kriminala  (KTPO) osigurati da učešće osuđujućih presuda bude iznad 85% u odnosu na ukupan broj presuda</w:t>
            </w:r>
          </w:p>
        </w:tc>
        <w:tc>
          <w:tcPr>
            <w:tcW w:w="3225" w:type="dxa"/>
          </w:tcPr>
          <w:p w:rsidR="006624A0" w:rsidRPr="006624A0" w:rsidRDefault="006624A0" w:rsidP="00E753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</w:pPr>
            <w:r w:rsidRPr="006624A0"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  <w:t>U predmetima privrednog kriminala  (KTPO) osigurati da učešće osuđujućih presuda bude iznad 85% u odnosu na ukupan broj presuda</w:t>
            </w:r>
          </w:p>
        </w:tc>
        <w:tc>
          <w:tcPr>
            <w:tcW w:w="3225" w:type="dxa"/>
          </w:tcPr>
          <w:p w:rsidR="006624A0" w:rsidRPr="006624A0" w:rsidRDefault="006624A0" w:rsidP="00E753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</w:pPr>
            <w:r w:rsidRPr="006624A0"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  <w:t>U predmetima privrednog kriminala  (KTPO) osigurati da učešće osuđujućih presuda bude iznad 85% u odnosu na ukupan broj presuda</w:t>
            </w:r>
          </w:p>
        </w:tc>
      </w:tr>
      <w:tr w:rsidR="006624A0" w:rsidRPr="00A76891" w:rsidTr="00662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4" w:type="dxa"/>
          </w:tcPr>
          <w:p w:rsidR="006624A0" w:rsidRPr="006624A0" w:rsidRDefault="006624A0" w:rsidP="00E7532A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lang w:val="hr-BA"/>
              </w:rPr>
            </w:pPr>
            <w:r w:rsidRPr="006624A0">
              <w:rPr>
                <w:rFonts w:asciiTheme="majorHAnsi" w:eastAsiaTheme="majorEastAsia" w:hAnsiTheme="majorHAnsi" w:cstheme="majorBidi"/>
                <w:b w:val="0"/>
                <w:lang w:val="hr-BA"/>
              </w:rPr>
              <w:t>U predmetima korupcije (KTK) osigurati da učešće osuđujućih presuda bude iznad 85% u odnosu na ukupan broj presuda</w:t>
            </w:r>
          </w:p>
        </w:tc>
        <w:tc>
          <w:tcPr>
            <w:tcW w:w="3225" w:type="dxa"/>
          </w:tcPr>
          <w:p w:rsidR="006624A0" w:rsidRPr="006624A0" w:rsidRDefault="006624A0" w:rsidP="00E7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</w:pPr>
            <w:r w:rsidRPr="006624A0"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  <w:t>U predmetima korupcije (KTK) osigurati da učešće osuđujućih presuda bude iznad 85% u odnosu na ukupan broj presuda</w:t>
            </w:r>
          </w:p>
        </w:tc>
        <w:tc>
          <w:tcPr>
            <w:tcW w:w="3225" w:type="dxa"/>
          </w:tcPr>
          <w:p w:rsidR="006624A0" w:rsidRPr="006624A0" w:rsidRDefault="006624A0" w:rsidP="00E7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</w:pPr>
            <w:r w:rsidRPr="006624A0">
              <w:rPr>
                <w:rFonts w:asciiTheme="majorHAnsi" w:eastAsiaTheme="majorEastAsia" w:hAnsiTheme="majorHAnsi" w:cstheme="majorBidi"/>
                <w:b/>
                <w:bCs/>
                <w:lang w:val="hr-BA"/>
              </w:rPr>
              <w:t>U predmetima korupcije (KTK) osigurati da učešće osuđujućih presuda bude iznad 85% u odnosu na ukupan broj presuda</w:t>
            </w:r>
          </w:p>
        </w:tc>
      </w:tr>
    </w:tbl>
    <w:p w:rsidR="006E300E" w:rsidRDefault="006E300E" w:rsidP="00636040">
      <w:pPr>
        <w:pStyle w:val="Heading4"/>
        <w:rPr>
          <w:rFonts w:asciiTheme="minorHAnsi" w:hAnsiTheme="minorHAnsi"/>
          <w:color w:val="auto"/>
          <w:sz w:val="24"/>
          <w:szCs w:val="24"/>
          <w:lang w:val="hr-BA"/>
        </w:rPr>
      </w:pPr>
    </w:p>
    <w:p w:rsidR="006E300E" w:rsidRDefault="006E300E">
      <w:pPr>
        <w:spacing w:line="240" w:lineRule="auto"/>
        <w:rPr>
          <w:rFonts w:asciiTheme="minorHAnsi" w:hAnsiTheme="minorHAnsi"/>
          <w:b/>
          <w:bCs/>
          <w:i/>
          <w:iCs/>
          <w:color w:val="auto"/>
          <w:spacing w:val="0"/>
          <w:sz w:val="24"/>
          <w:szCs w:val="24"/>
          <w:lang w:val="hr-BA"/>
        </w:rPr>
      </w:pPr>
      <w:r>
        <w:rPr>
          <w:rFonts w:asciiTheme="minorHAnsi" w:hAnsiTheme="minorHAnsi"/>
          <w:color w:val="auto"/>
          <w:sz w:val="24"/>
          <w:szCs w:val="24"/>
          <w:lang w:val="hr-BA"/>
        </w:rPr>
        <w:br w:type="page"/>
      </w:r>
    </w:p>
    <w:p w:rsidR="006624A0" w:rsidRDefault="006624A0" w:rsidP="00636040">
      <w:pPr>
        <w:pStyle w:val="Heading4"/>
        <w:rPr>
          <w:rFonts w:asciiTheme="minorHAnsi" w:hAnsiTheme="minorHAnsi"/>
          <w:color w:val="auto"/>
          <w:sz w:val="24"/>
          <w:szCs w:val="24"/>
          <w:lang w:val="hr-BA"/>
        </w:rPr>
      </w:pPr>
    </w:p>
    <w:p w:rsidR="006624A0" w:rsidRPr="006E300E" w:rsidRDefault="006624A0" w:rsidP="006624A0">
      <w:pPr>
        <w:jc w:val="both"/>
        <w:rPr>
          <w:rFonts w:asciiTheme="minorHAnsi" w:hAnsiTheme="minorHAnsi"/>
          <w:b/>
          <w:bCs/>
          <w:color w:val="auto"/>
          <w:spacing w:val="0"/>
          <w:sz w:val="24"/>
          <w:szCs w:val="18"/>
          <w:lang w:val="hr-BA"/>
        </w:rPr>
      </w:pPr>
      <w:r w:rsidRPr="006E300E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Kao što se vidi iz tabele prikazane u nastavku, po podacima koji su prikupljeni za period 1.1.2018. – 31.12.2018. godina, na nivou tužilačkog sistema Federacije BiH je za opći kriminal ostvaren </w:t>
      </w:r>
      <w:r w:rsidRPr="006E300E">
        <w:rPr>
          <w:rFonts w:asciiTheme="minorHAnsi" w:hAnsiTheme="minorHAnsi"/>
          <w:b/>
          <w:bCs/>
          <w:color w:val="auto"/>
          <w:spacing w:val="0"/>
          <w:sz w:val="24"/>
          <w:szCs w:val="18"/>
          <w:lang w:val="hr-BA"/>
        </w:rPr>
        <w:t xml:space="preserve">omjer od 94%, za privredni kriminal omjer od 81%, i za predmete korupcije omjer od 87%. </w:t>
      </w:r>
    </w:p>
    <w:p w:rsidR="006624A0" w:rsidRPr="006E300E" w:rsidRDefault="006624A0" w:rsidP="006624A0">
      <w:pPr>
        <w:jc w:val="both"/>
        <w:rPr>
          <w:rFonts w:asciiTheme="minorHAnsi" w:hAnsiTheme="minorHAnsi"/>
          <w:b/>
          <w:bCs/>
          <w:color w:val="auto"/>
          <w:spacing w:val="0"/>
          <w:sz w:val="24"/>
          <w:szCs w:val="18"/>
          <w:lang w:val="hr-BA"/>
        </w:rPr>
      </w:pPr>
    </w:p>
    <w:p w:rsidR="006624A0" w:rsidRPr="00A76891" w:rsidRDefault="006624A0" w:rsidP="006624A0">
      <w:pPr>
        <w:jc w:val="center"/>
        <w:rPr>
          <w:rFonts w:ascii="Times New Roman" w:hAnsi="Times New Roman"/>
          <w:b/>
          <w:lang w:val="hr-HR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031"/>
        <w:gridCol w:w="2911"/>
        <w:gridCol w:w="2794"/>
        <w:gridCol w:w="2324"/>
      </w:tblGrid>
      <w:tr w:rsidR="006624A0" w:rsidRPr="00A76891" w:rsidTr="006E3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5" w:type="dxa"/>
            <w:gridSpan w:val="4"/>
          </w:tcPr>
          <w:p w:rsidR="006624A0" w:rsidRPr="00A76891" w:rsidRDefault="006624A0" w:rsidP="00E7532A">
            <w:pPr>
              <w:jc w:val="center"/>
              <w:rPr>
                <w:rFonts w:ascii="Times New Roman" w:hAnsi="Times New Roman"/>
                <w:b w:val="0"/>
                <w:color w:val="FFFFFF" w:themeColor="background1"/>
                <w:lang w:val="hr-HR"/>
              </w:rPr>
            </w:pPr>
            <w:r w:rsidRPr="006E300E">
              <w:rPr>
                <w:rFonts w:ascii="Times New Roman" w:hAnsi="Times New Roman"/>
                <w:color w:val="000000" w:themeColor="text1"/>
                <w:lang w:val="hr-HR"/>
              </w:rPr>
              <w:t xml:space="preserve">Pregled omjera osuđujućih presuda u odnosu na ukupan broj presuda u periodu 1.1.2018. - 31.12.2018. godine za predmete općeg kriminala, privrednog kriminala i korupcije za cjelokupni tužilački sistem Federacije </w:t>
            </w:r>
            <w:r w:rsidRPr="00A76891">
              <w:rPr>
                <w:rFonts w:ascii="Times New Roman" w:hAnsi="Times New Roman"/>
                <w:color w:val="FFFFFF" w:themeColor="background1"/>
                <w:lang w:val="hr-HR"/>
              </w:rPr>
              <w:t>BiH</w:t>
            </w:r>
          </w:p>
        </w:tc>
      </w:tr>
      <w:tr w:rsidR="006624A0" w:rsidRPr="00A76891" w:rsidTr="006E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:rsidR="006624A0" w:rsidRPr="006E300E" w:rsidRDefault="006624A0" w:rsidP="00E7532A">
            <w:pPr>
              <w:jc w:val="center"/>
              <w:rPr>
                <w:rFonts w:asciiTheme="minorHAnsi" w:eastAsiaTheme="majorEastAsia" w:hAnsiTheme="minorHAnsi" w:cstheme="majorBid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  <w:t>Vrsta predmeta</w:t>
            </w:r>
          </w:p>
        </w:tc>
        <w:tc>
          <w:tcPr>
            <w:tcW w:w="2970" w:type="dxa"/>
          </w:tcPr>
          <w:p w:rsidR="006624A0" w:rsidRPr="006E300E" w:rsidRDefault="006624A0" w:rsidP="00E7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 xml:space="preserve">Ukupan broj presuda u periodu 1.1.2018. – 31.12.2018. </w:t>
            </w:r>
          </w:p>
        </w:tc>
        <w:tc>
          <w:tcPr>
            <w:tcW w:w="2848" w:type="dxa"/>
          </w:tcPr>
          <w:p w:rsidR="006624A0" w:rsidRPr="006E300E" w:rsidRDefault="006624A0" w:rsidP="00E7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Ukupan broj osuđujućih presuda u periodu 1.1.2018. – 31.12.2018.</w:t>
            </w:r>
          </w:p>
        </w:tc>
        <w:tc>
          <w:tcPr>
            <w:tcW w:w="2360" w:type="dxa"/>
          </w:tcPr>
          <w:p w:rsidR="006624A0" w:rsidRPr="006E300E" w:rsidRDefault="006624A0" w:rsidP="00E75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Omjer</w:t>
            </w:r>
          </w:p>
        </w:tc>
      </w:tr>
      <w:tr w:rsidR="006624A0" w:rsidRPr="00A76891" w:rsidTr="006E3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:rsidR="006624A0" w:rsidRPr="006E300E" w:rsidRDefault="006624A0" w:rsidP="00E7532A">
            <w:pPr>
              <w:spacing w:line="480" w:lineRule="auto"/>
              <w:jc w:val="center"/>
              <w:rPr>
                <w:rFonts w:asciiTheme="minorHAnsi" w:eastAsiaTheme="majorEastAsia" w:hAnsiTheme="minorHAnsi" w:cstheme="majorBid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  <w:t>I</w:t>
            </w:r>
          </w:p>
        </w:tc>
        <w:tc>
          <w:tcPr>
            <w:tcW w:w="2970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II</w:t>
            </w:r>
          </w:p>
        </w:tc>
        <w:tc>
          <w:tcPr>
            <w:tcW w:w="2848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III</w:t>
            </w:r>
          </w:p>
        </w:tc>
        <w:tc>
          <w:tcPr>
            <w:tcW w:w="2360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IV = (III/II)*100</w:t>
            </w:r>
          </w:p>
        </w:tc>
      </w:tr>
      <w:tr w:rsidR="006624A0" w:rsidRPr="00A76891" w:rsidTr="006E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:rsidR="006624A0" w:rsidRPr="006E300E" w:rsidRDefault="006624A0" w:rsidP="00E7532A">
            <w:pPr>
              <w:rPr>
                <w:rFonts w:asciiTheme="minorHAnsi" w:eastAsiaTheme="majorEastAsia" w:hAnsiTheme="minorHAnsi" w:cstheme="majorBid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  <w:t>KT (Opći kriminal)</w:t>
            </w:r>
          </w:p>
        </w:tc>
        <w:tc>
          <w:tcPr>
            <w:tcW w:w="2970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8.091</w:t>
            </w:r>
          </w:p>
        </w:tc>
        <w:tc>
          <w:tcPr>
            <w:tcW w:w="2848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7.635</w:t>
            </w:r>
          </w:p>
        </w:tc>
        <w:tc>
          <w:tcPr>
            <w:tcW w:w="2360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94%</w:t>
            </w:r>
          </w:p>
        </w:tc>
      </w:tr>
      <w:tr w:rsidR="006624A0" w:rsidRPr="00A76891" w:rsidTr="006E3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:rsidR="006624A0" w:rsidRPr="006E300E" w:rsidRDefault="006624A0" w:rsidP="00E7532A">
            <w:pPr>
              <w:rPr>
                <w:rFonts w:asciiTheme="minorHAnsi" w:eastAsiaTheme="majorEastAsia" w:hAnsiTheme="minorHAnsi" w:cstheme="majorBid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  <w:t>KTPO (Privredni kriminal)</w:t>
            </w:r>
          </w:p>
        </w:tc>
        <w:tc>
          <w:tcPr>
            <w:tcW w:w="2970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201</w:t>
            </w:r>
          </w:p>
        </w:tc>
        <w:tc>
          <w:tcPr>
            <w:tcW w:w="2848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163</w:t>
            </w:r>
          </w:p>
        </w:tc>
        <w:tc>
          <w:tcPr>
            <w:tcW w:w="2360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81%</w:t>
            </w:r>
          </w:p>
        </w:tc>
      </w:tr>
      <w:tr w:rsidR="006624A0" w:rsidRPr="00A76891" w:rsidTr="006E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</w:tcPr>
          <w:p w:rsidR="006624A0" w:rsidRPr="006E300E" w:rsidRDefault="006624A0" w:rsidP="00E7532A">
            <w:pPr>
              <w:rPr>
                <w:rFonts w:asciiTheme="minorHAnsi" w:eastAsiaTheme="majorEastAsia" w:hAnsiTheme="minorHAnsi" w:cstheme="majorBid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  <w:t>KTK (Korupcija)</w:t>
            </w:r>
          </w:p>
        </w:tc>
        <w:tc>
          <w:tcPr>
            <w:tcW w:w="2970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124</w:t>
            </w:r>
          </w:p>
        </w:tc>
        <w:tc>
          <w:tcPr>
            <w:tcW w:w="2848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108</w:t>
            </w:r>
          </w:p>
        </w:tc>
        <w:tc>
          <w:tcPr>
            <w:tcW w:w="2360" w:type="dxa"/>
          </w:tcPr>
          <w:p w:rsidR="006624A0" w:rsidRPr="006E300E" w:rsidRDefault="006624A0" w:rsidP="00E7532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</w:pPr>
            <w:r w:rsidRPr="006E300E">
              <w:rPr>
                <w:rFonts w:asciiTheme="minorHAnsi" w:eastAsiaTheme="majorEastAsia" w:hAnsiTheme="minorHAnsi" w:cstheme="majorBidi"/>
                <w:color w:val="auto"/>
                <w:spacing w:val="0"/>
                <w:sz w:val="24"/>
                <w:szCs w:val="18"/>
                <w:lang w:val="hr-BA"/>
              </w:rPr>
              <w:t>87%</w:t>
            </w:r>
          </w:p>
        </w:tc>
      </w:tr>
    </w:tbl>
    <w:p w:rsidR="000357A8" w:rsidRPr="00944D33" w:rsidRDefault="00636040" w:rsidP="006E300E">
      <w:pPr>
        <w:pStyle w:val="Heading4"/>
        <w:rPr>
          <w:rFonts w:asciiTheme="minorHAnsi" w:hAnsiTheme="minorHAnsi"/>
          <w:color w:val="auto"/>
          <w:sz w:val="24"/>
          <w:szCs w:val="18"/>
          <w:lang w:val="hr-BA"/>
        </w:rPr>
      </w:pPr>
      <w:r w:rsidRPr="00944D33">
        <w:rPr>
          <w:rFonts w:asciiTheme="minorHAnsi" w:hAnsiTheme="minorHAnsi"/>
          <w:color w:val="auto"/>
          <w:sz w:val="24"/>
          <w:szCs w:val="24"/>
          <w:lang w:val="hr-BA"/>
        </w:rPr>
        <w:t xml:space="preserve"> </w:t>
      </w:r>
      <w:bookmarkStart w:id="41" w:name="_Toc344495165"/>
    </w:p>
    <w:p w:rsidR="004127F7" w:rsidRPr="00944D33" w:rsidRDefault="004127F7" w:rsidP="00B50865">
      <w:pPr>
        <w:pStyle w:val="Heading3"/>
      </w:pPr>
    </w:p>
    <w:p w:rsidR="00240288" w:rsidRPr="00944D33" w:rsidRDefault="00D538DB" w:rsidP="00B50865">
      <w:pPr>
        <w:pStyle w:val="Heading3"/>
      </w:pPr>
      <w:r w:rsidRPr="00944D33">
        <w:t xml:space="preserve">Ciljani rezultat 2.3 – </w:t>
      </w:r>
      <w:r w:rsidR="00240288" w:rsidRPr="00944D33">
        <w:t>Smanjiti omjer uvaženih pritužb</w:t>
      </w:r>
      <w:r w:rsidR="00094F99" w:rsidRPr="00944D33">
        <w:t>i</w:t>
      </w:r>
      <w:r w:rsidR="00240288" w:rsidRPr="00944D33">
        <w:t xml:space="preserve"> u odnosu na broj uloženih pritužbi na odluke o ne</w:t>
      </w:r>
      <w:r w:rsidR="00094F99" w:rsidRPr="00944D33">
        <w:t>s</w:t>
      </w:r>
      <w:r w:rsidR="00240288" w:rsidRPr="00944D33">
        <w:t>provođenju istraga i na odluke o obustavi istraga</w:t>
      </w:r>
      <w:bookmarkEnd w:id="41"/>
    </w:p>
    <w:p w:rsidR="000357A8" w:rsidRPr="00944D33" w:rsidRDefault="000357A8" w:rsidP="000357A8">
      <w:pPr>
        <w:rPr>
          <w:rFonts w:asciiTheme="minorHAnsi" w:hAnsiTheme="minorHAnsi"/>
          <w:color w:val="auto"/>
          <w:lang w:val="hr-BA"/>
        </w:rPr>
      </w:pPr>
    </w:p>
    <w:p w:rsidR="000357A8" w:rsidRPr="00944D33" w:rsidRDefault="000357A8" w:rsidP="000357A8">
      <w:pPr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Ciljani rezultati koji su utvrđeni S</w:t>
      </w:r>
      <w:r w:rsidR="006E300E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trateškim okvirom za period 2018. – 2020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.</w:t>
      </w:r>
      <w:r w:rsidR="006E300E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godina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su sljedeći:</w:t>
      </w:r>
    </w:p>
    <w:p w:rsidR="000357A8" w:rsidRPr="00944D33" w:rsidRDefault="000357A8" w:rsidP="000357A8">
      <w:pPr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295378" w:rsidRPr="00944D33" w:rsidTr="0029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0357A8" w:rsidRPr="00944D33" w:rsidRDefault="00C012B4" w:rsidP="000357A8">
            <w:pPr>
              <w:jc w:val="center"/>
              <w:rPr>
                <w:rFonts w:asciiTheme="minorHAnsi" w:hAnsiTheme="minorHAnsi"/>
                <w:color w:val="auto"/>
                <w:lang w:val="hr-BA"/>
              </w:rPr>
            </w:pPr>
            <w:r>
              <w:rPr>
                <w:rFonts w:asciiTheme="minorHAnsi" w:hAnsiTheme="minorHAnsi"/>
                <w:color w:val="auto"/>
                <w:lang w:val="hr-BA"/>
              </w:rPr>
              <w:t>2018</w:t>
            </w:r>
          </w:p>
        </w:tc>
        <w:tc>
          <w:tcPr>
            <w:tcW w:w="3432" w:type="dxa"/>
          </w:tcPr>
          <w:p w:rsidR="000357A8" w:rsidRPr="00944D33" w:rsidRDefault="00C012B4" w:rsidP="00035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hr-BA"/>
              </w:rPr>
            </w:pPr>
            <w:r>
              <w:rPr>
                <w:rFonts w:asciiTheme="minorHAnsi" w:hAnsiTheme="minorHAnsi"/>
                <w:color w:val="auto"/>
                <w:lang w:val="hr-BA"/>
              </w:rPr>
              <w:t>2019</w:t>
            </w:r>
          </w:p>
        </w:tc>
        <w:tc>
          <w:tcPr>
            <w:tcW w:w="3432" w:type="dxa"/>
          </w:tcPr>
          <w:p w:rsidR="000357A8" w:rsidRPr="00944D33" w:rsidRDefault="00C012B4" w:rsidP="00035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hr-BA"/>
              </w:rPr>
            </w:pPr>
            <w:r>
              <w:rPr>
                <w:rFonts w:asciiTheme="minorHAnsi" w:hAnsiTheme="minorHAnsi"/>
                <w:color w:val="auto"/>
                <w:lang w:val="hr-BA"/>
              </w:rPr>
              <w:t>2020</w:t>
            </w:r>
          </w:p>
        </w:tc>
      </w:tr>
      <w:tr w:rsidR="00295378" w:rsidRPr="004A7F54" w:rsidTr="0029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0357A8" w:rsidRPr="00944D33" w:rsidRDefault="000357A8" w:rsidP="004127F7">
            <w:pPr>
              <w:jc w:val="center"/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</w:pPr>
            <w:r w:rsidRPr="00944D33">
              <w:rPr>
                <w:rFonts w:asciiTheme="minorHAnsi" w:hAnsiTheme="minorHAnsi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  <w:t>Omjer usvojenih pritužbi ne prelazi omjer od 10% u odnosu na uložene pritužbe na odluke o nesprovođenju i o obustavi istraga</w:t>
            </w:r>
          </w:p>
        </w:tc>
        <w:tc>
          <w:tcPr>
            <w:tcW w:w="3432" w:type="dxa"/>
          </w:tcPr>
          <w:p w:rsidR="000357A8" w:rsidRPr="00944D33" w:rsidRDefault="000357A8" w:rsidP="0041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  <w:t>Omjer usvojenih pritužbi ne prelazi omjer od 10% u odnosu na uložene pritužbe na odluke o nesprovođenju i o obustavi istraga</w:t>
            </w:r>
          </w:p>
        </w:tc>
        <w:tc>
          <w:tcPr>
            <w:tcW w:w="3432" w:type="dxa"/>
          </w:tcPr>
          <w:p w:rsidR="000357A8" w:rsidRPr="00944D33" w:rsidRDefault="000357A8" w:rsidP="0041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  <w:t>Omjer usvojenih pritužbi ne prelazi omjer od 10% u odnosu na uložene pritužbe na odluke o nesprovođenju i o obustavi istraga</w:t>
            </w:r>
          </w:p>
        </w:tc>
      </w:tr>
    </w:tbl>
    <w:p w:rsidR="00633DCE" w:rsidRPr="00944D33" w:rsidRDefault="00633DCE" w:rsidP="00B55F58">
      <w:pPr>
        <w:rPr>
          <w:rFonts w:asciiTheme="minorHAnsi" w:hAnsiTheme="minorHAnsi"/>
          <w:b/>
          <w:bCs/>
          <w:color w:val="auto"/>
          <w:spacing w:val="0"/>
          <w:sz w:val="24"/>
          <w:szCs w:val="24"/>
          <w:lang w:val="hr-BA"/>
        </w:rPr>
      </w:pPr>
    </w:p>
    <w:p w:rsidR="00B55F58" w:rsidRPr="00944D33" w:rsidRDefault="00094F99" w:rsidP="001A1753">
      <w:pPr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P</w:t>
      </w:r>
      <w:r w:rsidR="00B55F5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rocenat 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uvaženih u odnosu na broj </w:t>
      </w:r>
      <w:r w:rsidR="00B55F5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uloženih pritužbi na odluke o nesprovođenju i obustavi istraga je dobar pokazatelj kva</w:t>
      </w:r>
      <w:r w:rsidR="000357A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litete rada tužilaštava. </w:t>
      </w:r>
      <w:r w:rsidR="006E300E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U 2018.  godini uloženo je 860</w:t>
      </w:r>
      <w:r w:rsidR="00B55F5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pritužbi na odluke o nesprovođenju i o obustavi istraga za sva tužilaštva u</w:t>
      </w:r>
      <w:r w:rsidR="000357A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</w:t>
      </w:r>
      <w:r w:rsidR="006E300E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Federaciji BiH. Od tog broja, 14</w:t>
      </w:r>
      <w:r w:rsidR="00B55F5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% pritužbi je bilo uvaženo</w:t>
      </w:r>
      <w:r w:rsidR="000357A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ili</w:t>
      </w:r>
      <w:r w:rsidR="00B55F5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</w:t>
      </w:r>
      <w:r w:rsidR="008F3BAB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12</w:t>
      </w:r>
      <w:r w:rsidR="006E300E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1 pritužba</w:t>
      </w:r>
      <w:r w:rsidR="000357A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.</w:t>
      </w:r>
    </w:p>
    <w:p w:rsidR="00B55F58" w:rsidRDefault="00B55F58" w:rsidP="00B55F58">
      <w:pPr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</w:p>
    <w:p w:rsidR="008F3BAB" w:rsidRPr="00944D33" w:rsidRDefault="008F3BAB" w:rsidP="008F3BAB">
      <w:pPr>
        <w:jc w:val="center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  <w:r>
        <w:rPr>
          <w:noProof/>
        </w:rPr>
        <w:drawing>
          <wp:inline distT="0" distB="0" distL="0" distR="0" wp14:anchorId="1E224D93" wp14:editId="64EB3179">
            <wp:extent cx="4572000" cy="2217683"/>
            <wp:effectExtent l="0" t="0" r="19050" b="1143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55F58" w:rsidRPr="00944D33" w:rsidRDefault="00B55F58" w:rsidP="00B55F58">
      <w:pPr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</w:p>
    <w:p w:rsidR="00240288" w:rsidRPr="00944D33" w:rsidRDefault="000357A8" w:rsidP="00240288">
      <w:pPr>
        <w:jc w:val="center"/>
        <w:rPr>
          <w:rFonts w:asciiTheme="minorHAnsi" w:hAnsiTheme="minorHAnsi"/>
          <w:color w:val="auto"/>
          <w:lang w:val="hr-BA"/>
        </w:rPr>
      </w:pPr>
      <w:r w:rsidRPr="00944D33">
        <w:rPr>
          <w:rFonts w:asciiTheme="minorHAnsi" w:hAnsiTheme="minorHAnsi"/>
          <w:color w:val="auto"/>
          <w:lang w:val="hr-BA" w:eastAsia="en-GB"/>
        </w:rPr>
        <w:t xml:space="preserve"> </w:t>
      </w:r>
    </w:p>
    <w:p w:rsidR="00240288" w:rsidRPr="00944D33" w:rsidRDefault="00240288" w:rsidP="00240288">
      <w:pPr>
        <w:rPr>
          <w:rFonts w:asciiTheme="minorHAnsi" w:hAnsiTheme="minorHAnsi"/>
          <w:color w:val="auto"/>
          <w:lang w:val="hr-BA"/>
        </w:rPr>
      </w:pPr>
    </w:p>
    <w:p w:rsidR="00D538DB" w:rsidRPr="00944D33" w:rsidRDefault="00B55F58" w:rsidP="005F4D94">
      <w:pPr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Iako ovo predstavlja omjer koji je veći od 10%, ovo se ipak može smatrati zadovoljavajućim rezultatom, jer ukazuje na kvalitetnu kontrolu kako federalnih, tako i kantonalnih tužilaca nad radom. Svakako intencija je da u narednom periodu ovaj omjer se smanji do optimalnog od ispod 10%. </w:t>
      </w:r>
    </w:p>
    <w:p w:rsidR="00B55F58" w:rsidRPr="00944D33" w:rsidRDefault="00B55F58" w:rsidP="005F4D94">
      <w:pPr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</w:p>
    <w:p w:rsidR="004127F7" w:rsidRPr="00944D33" w:rsidRDefault="004127F7">
      <w:pPr>
        <w:spacing w:line="240" w:lineRule="auto"/>
        <w:rPr>
          <w:rFonts w:asciiTheme="minorHAnsi" w:hAnsiTheme="minorHAnsi"/>
          <w:b/>
          <w:bCs/>
          <w:color w:val="auto"/>
          <w:spacing w:val="0"/>
          <w:sz w:val="24"/>
          <w:szCs w:val="24"/>
          <w:lang w:val="hr-BA"/>
        </w:rPr>
      </w:pPr>
      <w:bookmarkStart w:id="42" w:name="_Toc344495166"/>
      <w:r w:rsidRPr="00944D33">
        <w:rPr>
          <w:rFonts w:asciiTheme="minorHAnsi" w:hAnsiTheme="minorHAnsi"/>
          <w:lang w:val="hr-BA"/>
        </w:rPr>
        <w:br w:type="page"/>
      </w:r>
    </w:p>
    <w:p w:rsidR="004127F7" w:rsidRPr="00944D33" w:rsidRDefault="004127F7" w:rsidP="00B50865">
      <w:pPr>
        <w:pStyle w:val="Heading3"/>
      </w:pPr>
    </w:p>
    <w:p w:rsidR="00B55F58" w:rsidRPr="00944D33" w:rsidRDefault="00B55F58" w:rsidP="00B50865">
      <w:pPr>
        <w:pStyle w:val="Heading3"/>
      </w:pPr>
      <w:r w:rsidRPr="00944D33">
        <w:t>Ciljani rezultat 2.4 – Smanjiti broj neriješenih prijava</w:t>
      </w:r>
      <w:bookmarkEnd w:id="42"/>
    </w:p>
    <w:p w:rsidR="00B55F58" w:rsidRPr="00944D33" w:rsidRDefault="00B55F58" w:rsidP="00B55F58">
      <w:pPr>
        <w:rPr>
          <w:rFonts w:asciiTheme="minorHAnsi" w:hAnsiTheme="minorHAnsi"/>
          <w:color w:val="auto"/>
          <w:lang w:val="hr-BA"/>
        </w:rPr>
      </w:pPr>
    </w:p>
    <w:p w:rsidR="000357A8" w:rsidRPr="00944D33" w:rsidRDefault="000357A8" w:rsidP="000357A8">
      <w:pPr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Ciljani rezultati koji su utvrđeni S</w:t>
      </w:r>
      <w:r w:rsidR="000B14EE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trateškim okvirom za period 2018. – 2020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. su sljedeći:</w:t>
      </w:r>
    </w:p>
    <w:p w:rsidR="000357A8" w:rsidRPr="00944D33" w:rsidRDefault="000357A8" w:rsidP="000357A8">
      <w:pPr>
        <w:jc w:val="both"/>
        <w:rPr>
          <w:rFonts w:asciiTheme="minorHAnsi" w:hAnsiTheme="minorHAnsi"/>
          <w:color w:val="auto"/>
          <w:lang w:val="hr-BA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311"/>
        <w:gridCol w:w="3312"/>
        <w:gridCol w:w="3312"/>
      </w:tblGrid>
      <w:tr w:rsidR="00295378" w:rsidRPr="00944D33" w:rsidTr="0029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:rsidR="000357A8" w:rsidRPr="00944D33" w:rsidRDefault="000B14EE" w:rsidP="0092626D">
            <w:pPr>
              <w:jc w:val="center"/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  <w:t>2018</w:t>
            </w:r>
          </w:p>
        </w:tc>
        <w:tc>
          <w:tcPr>
            <w:tcW w:w="3312" w:type="dxa"/>
          </w:tcPr>
          <w:p w:rsidR="000357A8" w:rsidRPr="00944D33" w:rsidRDefault="000B14EE" w:rsidP="009262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  <w:t>2019</w:t>
            </w:r>
          </w:p>
        </w:tc>
        <w:tc>
          <w:tcPr>
            <w:tcW w:w="3312" w:type="dxa"/>
          </w:tcPr>
          <w:p w:rsidR="000357A8" w:rsidRPr="00944D33" w:rsidRDefault="000B14EE" w:rsidP="009262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  <w:t>2020</w:t>
            </w:r>
          </w:p>
        </w:tc>
      </w:tr>
      <w:tr w:rsidR="000B14EE" w:rsidRPr="004A7F54" w:rsidTr="0029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1" w:type="dxa"/>
          </w:tcPr>
          <w:p w:rsidR="000B14EE" w:rsidRPr="008B0E88" w:rsidRDefault="000B14EE" w:rsidP="00295378">
            <w:pPr>
              <w:spacing w:line="240" w:lineRule="auto"/>
              <w:jc w:val="center"/>
              <w:rPr>
                <w:rFonts w:asciiTheme="minorHAnsi" w:eastAsia="ヒラギノ角ゴ Pro W3" w:hAnsiTheme="minorHAnsi" w:cs="Times New Roman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</w:pPr>
            <w:r w:rsidRPr="008B0E88">
              <w:rPr>
                <w:rFonts w:asciiTheme="minorHAnsi" w:eastAsia="ヒラギノ角ゴ Pro W3" w:hAnsiTheme="minorHAnsi" w:cs="Times New Roman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  <w:t>Za 2018. smanjiti broj neriješenih prijava za 10% u odnosu na broj zabilježen 31.12.2017. godine za cjelokupni Tužilački sistem u Federaciji BiH</w:t>
            </w:r>
          </w:p>
        </w:tc>
        <w:tc>
          <w:tcPr>
            <w:tcW w:w="3312" w:type="dxa"/>
          </w:tcPr>
          <w:p w:rsidR="000B14EE" w:rsidRPr="008B0E88" w:rsidRDefault="000B14EE" w:rsidP="002953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</w:pPr>
            <w:r w:rsidRPr="008B0E88"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  <w:t>Za 2019. smanjiti broj neriješenih prijava za 10% u odnosu na broj zabilježen 31.12.2018. godine za cjelokupni Tužilački sistem u Federaciji BiH</w:t>
            </w:r>
          </w:p>
        </w:tc>
        <w:tc>
          <w:tcPr>
            <w:tcW w:w="3312" w:type="dxa"/>
          </w:tcPr>
          <w:p w:rsidR="000B14EE" w:rsidRPr="008B0E88" w:rsidRDefault="000B14EE" w:rsidP="0029537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</w:pPr>
            <w:r w:rsidRPr="008B0E88"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  <w:t>Za 2020. godinu osigurati da omjer neriješenih prijava na kraju godine ne prelazi 10% od ukupnog broja prijava u radu za tu godinu</w:t>
            </w:r>
          </w:p>
        </w:tc>
      </w:tr>
    </w:tbl>
    <w:p w:rsidR="00295378" w:rsidRPr="00944D33" w:rsidRDefault="00295378" w:rsidP="000357A8">
      <w:pPr>
        <w:spacing w:line="240" w:lineRule="auto"/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</w:p>
    <w:p w:rsidR="00B50865" w:rsidRDefault="000B14EE" w:rsidP="000357A8">
      <w:pPr>
        <w:spacing w:line="240" w:lineRule="auto"/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  <w:r w:rsidRPr="000B14EE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Neriješenih prijava na dan </w:t>
      </w:r>
      <w:r w:rsidR="008B0E88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31.12.2018. godina je bilo 5.321</w:t>
      </w:r>
      <w:r w:rsidRPr="000B14EE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što je 12% u manje nego broj neriješenih prijava zabilježenih na dan 31.12.2017. godine. U osam tužilaštva je došlo do smanjenja neriješenih prijava, dok u jednom tužilaštvu (KT Goražde) nije bilo neriješenih prijava na početku i na kraju perioda. U jednom tužilaštvu (ŽT Široki Brijeg) je na kraju 2018 bilo 4 neriješene prijave, u odnosu na 1 neriješenu prijavu sa početka perioda.</w:t>
      </w:r>
    </w:p>
    <w:p w:rsidR="008B0E88" w:rsidRDefault="008B0E88" w:rsidP="000357A8">
      <w:pPr>
        <w:spacing w:line="240" w:lineRule="auto"/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</w:p>
    <w:p w:rsidR="008B0E88" w:rsidRDefault="008B0E88" w:rsidP="000357A8">
      <w:pPr>
        <w:spacing w:line="240" w:lineRule="auto"/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</w:p>
    <w:p w:rsidR="000B14EE" w:rsidRPr="00944D33" w:rsidRDefault="000B14EE" w:rsidP="008B0E88">
      <w:pPr>
        <w:spacing w:line="240" w:lineRule="auto"/>
        <w:jc w:val="center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  <w:r>
        <w:rPr>
          <w:noProof/>
        </w:rPr>
        <w:drawing>
          <wp:inline distT="0" distB="0" distL="0" distR="0" wp14:anchorId="136C22A9" wp14:editId="367A716E">
            <wp:extent cx="4572000" cy="2743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D2B51" w:rsidRPr="00944D33" w:rsidRDefault="00CD2B51" w:rsidP="000357A8">
      <w:pPr>
        <w:jc w:val="center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</w:p>
    <w:p w:rsidR="00CD2B51" w:rsidRPr="00944D33" w:rsidRDefault="00295378" w:rsidP="00B50865">
      <w:pPr>
        <w:pStyle w:val="Heading3"/>
      </w:pPr>
      <w:bookmarkStart w:id="43" w:name="_Toc344495167"/>
      <w:r w:rsidRPr="00944D33">
        <w:br w:type="page"/>
      </w:r>
      <w:r w:rsidR="00CD2B51" w:rsidRPr="00944D33">
        <w:t>Ciljani rezultat 2.5 – Smanjiti broj neriješenih istraga</w:t>
      </w:r>
      <w:bookmarkEnd w:id="43"/>
    </w:p>
    <w:p w:rsidR="00CD2B51" w:rsidRPr="00944D33" w:rsidRDefault="00CD2B51" w:rsidP="005F4D94">
      <w:pPr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</w:p>
    <w:p w:rsidR="000357A8" w:rsidRPr="00944D33" w:rsidRDefault="000357A8" w:rsidP="001A1753">
      <w:pPr>
        <w:spacing w:line="240" w:lineRule="auto"/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Ciljani rezultati koji su utvrđeni S</w:t>
      </w:r>
      <w:r w:rsidR="008B0E88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trateškim okvirom za period 2018. – 2020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 su sljedeći:</w:t>
      </w:r>
    </w:p>
    <w:p w:rsidR="000357A8" w:rsidRPr="00944D33" w:rsidRDefault="000357A8" w:rsidP="000357A8">
      <w:pPr>
        <w:jc w:val="both"/>
        <w:rPr>
          <w:rFonts w:asciiTheme="minorHAnsi" w:hAnsiTheme="minorHAnsi"/>
          <w:color w:val="auto"/>
          <w:lang w:val="hr-BA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353"/>
        <w:gridCol w:w="3354"/>
        <w:gridCol w:w="3353"/>
      </w:tblGrid>
      <w:tr w:rsidR="00295378" w:rsidRPr="00944D33" w:rsidTr="00295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:rsidR="000357A8" w:rsidRPr="00944D33" w:rsidRDefault="008B0E88" w:rsidP="0092626D">
            <w:pPr>
              <w:jc w:val="center"/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  <w:t>2018</w:t>
            </w:r>
          </w:p>
        </w:tc>
        <w:tc>
          <w:tcPr>
            <w:tcW w:w="3412" w:type="dxa"/>
          </w:tcPr>
          <w:p w:rsidR="000357A8" w:rsidRPr="00944D33" w:rsidRDefault="008B0E88" w:rsidP="009262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  <w:t>2019</w:t>
            </w:r>
          </w:p>
        </w:tc>
        <w:tc>
          <w:tcPr>
            <w:tcW w:w="3412" w:type="dxa"/>
          </w:tcPr>
          <w:p w:rsidR="000357A8" w:rsidRPr="00944D33" w:rsidRDefault="008B0E88" w:rsidP="009262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</w:pPr>
            <w:r>
              <w:rPr>
                <w:rFonts w:asciiTheme="minorHAnsi" w:eastAsia="MS Gothic" w:hAnsiTheme="minorHAnsi"/>
                <w:b w:val="0"/>
                <w:bCs w:val="0"/>
                <w:color w:val="auto"/>
                <w:lang w:val="hr-BA"/>
              </w:rPr>
              <w:t>2020</w:t>
            </w:r>
          </w:p>
        </w:tc>
      </w:tr>
      <w:tr w:rsidR="008B0E88" w:rsidRPr="00944D33" w:rsidTr="00295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dxa"/>
          </w:tcPr>
          <w:p w:rsidR="008B0E88" w:rsidRPr="008B0E88" w:rsidRDefault="008B0E88" w:rsidP="008B0E88">
            <w:pPr>
              <w:spacing w:line="240" w:lineRule="auto"/>
              <w:jc w:val="center"/>
              <w:rPr>
                <w:rFonts w:asciiTheme="minorHAnsi" w:eastAsia="ヒラギノ角ゴ Pro W3" w:hAnsiTheme="minorHAnsi" w:cs="Times New Roman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</w:pPr>
            <w:r w:rsidRPr="008B0E88">
              <w:rPr>
                <w:rFonts w:asciiTheme="minorHAnsi" w:eastAsia="ヒラギノ角ゴ Pro W3" w:hAnsiTheme="minorHAnsi" w:cs="Times New Roman"/>
                <w:b w:val="0"/>
                <w:bCs w:val="0"/>
                <w:color w:val="auto"/>
                <w:spacing w:val="0"/>
                <w:sz w:val="24"/>
                <w:szCs w:val="18"/>
                <w:lang w:val="hr-BA"/>
              </w:rPr>
              <w:t>Za 2018. smanjiti broj neriješenih istraga za 10% u odnosu na broj zabilježen 31.12.2017. godine za cjelokupni Tužilački sistem u Federaciji BiH</w:t>
            </w:r>
          </w:p>
        </w:tc>
        <w:tc>
          <w:tcPr>
            <w:tcW w:w="3412" w:type="dxa"/>
          </w:tcPr>
          <w:p w:rsidR="008B0E88" w:rsidRPr="008B0E88" w:rsidRDefault="008B0E88" w:rsidP="008B0E8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</w:pPr>
            <w:r w:rsidRPr="008B0E88"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  <w:t>Za 2019. smanjiti broj neriješenih istraga za 10% u odnosu na broj zabilježen 31.12.2018. godine za cjelokupni Tužilački sistem u Federaciji BiH</w:t>
            </w:r>
          </w:p>
        </w:tc>
        <w:tc>
          <w:tcPr>
            <w:tcW w:w="3412" w:type="dxa"/>
          </w:tcPr>
          <w:p w:rsidR="008B0E88" w:rsidRPr="008B0E88" w:rsidRDefault="008B0E88" w:rsidP="008B0E8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</w:pPr>
            <w:r w:rsidRPr="008B0E88">
              <w:rPr>
                <w:rFonts w:asciiTheme="minorHAnsi" w:hAnsiTheme="minorHAnsi"/>
                <w:color w:val="auto"/>
                <w:spacing w:val="0"/>
                <w:sz w:val="24"/>
                <w:szCs w:val="18"/>
                <w:lang w:val="hr-BA"/>
              </w:rPr>
              <w:t>Za 2020. godinu osigurati da omjer neriješenih istraga na kraju godine ne prelazi 10% od ukupnog broja istraga u radu za tu godinu</w:t>
            </w:r>
          </w:p>
        </w:tc>
      </w:tr>
    </w:tbl>
    <w:p w:rsidR="007017A0" w:rsidRPr="00944D33" w:rsidRDefault="007017A0" w:rsidP="007017A0">
      <w:pPr>
        <w:jc w:val="center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0357A8" w:rsidRDefault="008B0E88" w:rsidP="000357A8">
      <w:pPr>
        <w:spacing w:line="240" w:lineRule="auto"/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bookmarkStart w:id="44" w:name="_Toc442208249"/>
      <w:bookmarkStart w:id="45" w:name="_Toc442208298"/>
      <w:bookmarkStart w:id="46" w:name="_Toc442214999"/>
      <w:r w:rsidRPr="008B0E88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Za tužilački sistem Federacije BiH neriješenih istraga na dan 31.12.2018. je bilo za  12% manje nego broj neriješenih istraga zabilježenih na dan 1.1.2018. Sa izuzetkom jednog tužilaštva, u svim tužilaštvima je došlo do smanjenja broja neriješenih istraga na dan 31.12.2018. u odnosu na broj zabilježen 31.12.2017. godine Jedino tužilaštvo u kojem je došlo do neznatnog povećanja broja neriješenih istraga je bilo ŽT Široki Brijeg, i to za 16 neriješenih istraga.</w:t>
      </w:r>
    </w:p>
    <w:p w:rsidR="008B0E88" w:rsidRPr="00944D33" w:rsidRDefault="008B0E88" w:rsidP="000357A8">
      <w:pPr>
        <w:spacing w:line="240" w:lineRule="auto"/>
        <w:jc w:val="both"/>
        <w:rPr>
          <w:rFonts w:asciiTheme="minorHAnsi" w:hAnsiTheme="minorHAnsi"/>
          <w:color w:val="auto"/>
          <w:lang w:val="hr-BA"/>
        </w:rPr>
      </w:pPr>
    </w:p>
    <w:p w:rsidR="000357A8" w:rsidRPr="00944D33" w:rsidRDefault="000357A8" w:rsidP="000357A8">
      <w:pPr>
        <w:spacing w:line="240" w:lineRule="auto"/>
        <w:jc w:val="center"/>
        <w:rPr>
          <w:rFonts w:asciiTheme="minorHAnsi" w:hAnsiTheme="minorHAnsi"/>
          <w:color w:val="auto"/>
          <w:lang w:val="hr-BA"/>
        </w:rPr>
      </w:pPr>
    </w:p>
    <w:p w:rsidR="000357A8" w:rsidRPr="00944D33" w:rsidRDefault="00A72637" w:rsidP="00A72637">
      <w:pPr>
        <w:spacing w:line="240" w:lineRule="auto"/>
        <w:jc w:val="center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>
        <w:rPr>
          <w:noProof/>
        </w:rPr>
        <w:drawing>
          <wp:inline distT="0" distB="0" distL="0" distR="0" wp14:anchorId="5FB89B68" wp14:editId="482ED9F8">
            <wp:extent cx="4572000" cy="27432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95378" w:rsidRPr="00944D33" w:rsidRDefault="00295378">
      <w:pPr>
        <w:spacing w:line="240" w:lineRule="auto"/>
        <w:rPr>
          <w:rFonts w:asciiTheme="minorHAnsi" w:hAnsiTheme="minorHAnsi"/>
          <w:b/>
          <w:bCs/>
          <w:color w:val="auto"/>
          <w:spacing w:val="0"/>
          <w:sz w:val="26"/>
          <w:szCs w:val="26"/>
          <w:lang w:val="hr-BA"/>
        </w:rPr>
      </w:pPr>
      <w:r w:rsidRPr="00944D33">
        <w:rPr>
          <w:rFonts w:asciiTheme="minorHAnsi" w:hAnsiTheme="minorHAnsi"/>
          <w:color w:val="auto"/>
          <w:lang w:val="hr-BA"/>
        </w:rPr>
        <w:br w:type="page"/>
      </w:r>
    </w:p>
    <w:p w:rsidR="005C0006" w:rsidRPr="00944D33" w:rsidRDefault="005C0006" w:rsidP="005C0006">
      <w:pPr>
        <w:pStyle w:val="Heading2"/>
        <w:rPr>
          <w:rFonts w:asciiTheme="minorHAnsi" w:hAnsiTheme="minorHAnsi"/>
          <w:color w:val="auto"/>
          <w:lang w:val="hr-BA"/>
        </w:rPr>
      </w:pPr>
      <w:bookmarkStart w:id="47" w:name="_Toc502136573"/>
      <w:r w:rsidRPr="00944D33">
        <w:rPr>
          <w:rFonts w:asciiTheme="minorHAnsi" w:hAnsiTheme="minorHAnsi"/>
          <w:color w:val="auto"/>
          <w:lang w:val="hr-BA"/>
        </w:rPr>
        <w:t xml:space="preserve">Realizacija strateškog cilja 3: </w:t>
      </w:r>
      <w:bookmarkEnd w:id="47"/>
      <w:r w:rsidR="00C012B4" w:rsidRPr="00867F71">
        <w:rPr>
          <w:rFonts w:asciiTheme="minorHAnsi" w:hAnsiTheme="minorHAnsi"/>
          <w:color w:val="auto"/>
          <w:lang w:val="hr-BA"/>
        </w:rPr>
        <w:t>Povećati kvantitet i kvalitet informacija u skladu sa planom praćenja i evaluacije PR u tužilaštvima</w:t>
      </w:r>
    </w:p>
    <w:p w:rsidR="005C0006" w:rsidRPr="00944D33" w:rsidRDefault="005C0006" w:rsidP="005C0006">
      <w:pPr>
        <w:rPr>
          <w:rFonts w:asciiTheme="minorHAnsi" w:hAnsiTheme="minorHAnsi"/>
          <w:color w:val="auto"/>
          <w:lang w:val="hr-BA"/>
        </w:rPr>
      </w:pPr>
    </w:p>
    <w:p w:rsidR="005C0006" w:rsidRPr="00944D33" w:rsidRDefault="00C012B4" w:rsidP="00C012B4">
      <w:pPr>
        <w:jc w:val="both"/>
        <w:rPr>
          <w:rFonts w:asciiTheme="minorHAnsi" w:hAnsiTheme="minorHAnsi"/>
          <w:color w:val="auto"/>
          <w:lang w:val="hr-BA"/>
        </w:rPr>
      </w:pPr>
      <w:r w:rsidRPr="00C012B4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U skladu sa zaključcima sjednice Proširenog kolegija glavnih tužilaca Federacije BiH koji je je održan 25. i 26.6.2018. došlo je do izmjene strateškog cilja</w:t>
      </w:r>
      <w:r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3</w:t>
      </w:r>
      <w:r w:rsidRPr="00C012B4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koji sada glasi «Povećati kvantitet i kvalitet informacija u skladu sa planom praćenja i evaluacije PR u tužilaštvima». Definisana su dva nova ciljana rezultata, i to: Ciljani rezultat 3.1 –«Povećati kvalitet informacija u skladu sa planom praćenja i evaluacije PR u tužilaštvima za 5%» i Ciljani rezultat 3.2 – «Povećati kvantitet informacija u skladu sa planom praćenja i evaluacije PR u tužilaštvima za 5%». Plan praćenja i evaluacije PR u tužilaštvima je usvojen u oktobru 2018. od strane VSTV-a.</w:t>
      </w:r>
      <w:r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Konačna ocjena za 2018. godinu će biti </w:t>
      </w:r>
    </w:p>
    <w:p w:rsidR="0089500C" w:rsidRPr="00944D33" w:rsidRDefault="00CD2B51" w:rsidP="00B50865">
      <w:pPr>
        <w:pStyle w:val="Heading1"/>
        <w:spacing w:before="0"/>
        <w:rPr>
          <w:color w:val="auto"/>
        </w:rPr>
      </w:pPr>
      <w:r w:rsidRPr="00944D33">
        <w:rPr>
          <w:color w:val="auto"/>
        </w:rPr>
        <w:br w:type="page"/>
      </w:r>
      <w:bookmarkStart w:id="48" w:name="_Toc502136574"/>
      <w:r w:rsidR="003E2004" w:rsidRPr="00944D33">
        <w:rPr>
          <w:color w:val="auto"/>
        </w:rPr>
        <w:t>Str</w:t>
      </w:r>
      <w:r w:rsidR="009E50EA" w:rsidRPr="00944D33">
        <w:rPr>
          <w:color w:val="auto"/>
        </w:rPr>
        <w:t xml:space="preserve">ateški prioriteti za period </w:t>
      </w:r>
      <w:r w:rsidR="00A72637">
        <w:rPr>
          <w:color w:val="auto"/>
        </w:rPr>
        <w:t>2019 – 2021</w:t>
      </w:r>
      <w:r w:rsidR="005033F5" w:rsidRPr="00944D33">
        <w:rPr>
          <w:color w:val="auto"/>
        </w:rPr>
        <w:t>.</w:t>
      </w:r>
      <w:bookmarkEnd w:id="44"/>
      <w:bookmarkEnd w:id="45"/>
      <w:bookmarkEnd w:id="46"/>
      <w:bookmarkEnd w:id="48"/>
      <w:r w:rsidR="00A72637">
        <w:rPr>
          <w:color w:val="auto"/>
        </w:rPr>
        <w:t xml:space="preserve"> godina</w:t>
      </w:r>
    </w:p>
    <w:p w:rsidR="007C27B1" w:rsidRPr="00944D33" w:rsidRDefault="007C27B1" w:rsidP="007C27B1">
      <w:pPr>
        <w:rPr>
          <w:rFonts w:asciiTheme="minorHAnsi" w:hAnsiTheme="minorHAnsi"/>
          <w:color w:val="auto"/>
          <w:lang w:val="hr-BA"/>
        </w:rPr>
      </w:pPr>
    </w:p>
    <w:p w:rsidR="00CD2B51" w:rsidRPr="00944D33" w:rsidRDefault="00CD2B51" w:rsidP="000357A8">
      <w:pPr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Zaključak kolegija glavnih tužilaca u </w:t>
      </w:r>
      <w:r w:rsidR="000357A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F</w:t>
      </w:r>
      <w:r w:rsidR="00A72637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ederaciji BiH koji je održan 28 i 29. Januara .2019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. </w:t>
      </w:r>
      <w:r w:rsidR="00A72637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godine u Mostaru 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je da strateški ciljevi koji su definisani za period </w:t>
      </w:r>
      <w:r w:rsidR="00A72637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2018 – 2020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.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su i dalje relevantn</w:t>
      </w:r>
      <w:r w:rsidR="00A343D1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i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za naredni trogodišnji period, te da ne moraju biti izmijenjeni. Vrsta ciljanih rezultata </w:t>
      </w:r>
      <w:r w:rsidR="00866373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također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ostaju isti, s tim da su željeni učinci na nivou tužilaštava Federacije BiH za period </w:t>
      </w:r>
      <w:r w:rsidR="00A72637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2019 – 2021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.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nešto modifikovana za trendove </w:t>
      </w:r>
      <w:r w:rsidR="000357A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koji su zabilježeni zaključno u toku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201</w:t>
      </w:r>
      <w:r w:rsidR="00A72637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8</w:t>
      </w:r>
      <w:r w:rsidR="000357A8"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. godine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. </w:t>
      </w:r>
    </w:p>
    <w:p w:rsidR="00CD2B51" w:rsidRPr="00944D33" w:rsidRDefault="00CD2B51" w:rsidP="003D6D00">
      <w:pPr>
        <w:jc w:val="both"/>
        <w:rPr>
          <w:rFonts w:asciiTheme="minorHAnsi" w:hAnsiTheme="minorHAnsi"/>
          <w:color w:val="auto"/>
          <w:spacing w:val="0"/>
          <w:sz w:val="24"/>
          <w:szCs w:val="18"/>
          <w:lang w:val="hr-BA"/>
        </w:rPr>
      </w:pPr>
    </w:p>
    <w:p w:rsidR="00767617" w:rsidRPr="00944D33" w:rsidRDefault="004127F7" w:rsidP="004127F7">
      <w:pPr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Na ovom kolegiju je</w:t>
      </w:r>
      <w:r w:rsidR="00CD557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odlučeno da strateški ciljevi za period </w:t>
      </w:r>
      <w:r w:rsidR="00A72637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2019 – 2021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A72637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ostaju nepromijenjeni. Tako da </w:t>
      </w:r>
      <w:r w:rsidR="00CD557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strateški ciljevi za tužilaštva u Federaciji BiH za period </w:t>
      </w:r>
      <w:r w:rsidR="00A72637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2019 – 2021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CD557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</w:t>
      </w:r>
      <w:r w:rsidR="00A72637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su</w:t>
      </w:r>
      <w:r w:rsidR="00767617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:</w:t>
      </w:r>
    </w:p>
    <w:p w:rsidR="00CD557E" w:rsidRPr="00944D33" w:rsidRDefault="00CD557E" w:rsidP="00767617">
      <w:pPr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CD557E" w:rsidRPr="00944D33" w:rsidRDefault="00A4216A" w:rsidP="00CD557E">
      <w:pPr>
        <w:jc w:val="center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noProof/>
          <w:color w:val="auto"/>
        </w:rPr>
        <w:drawing>
          <wp:inline distT="0" distB="0" distL="0" distR="0" wp14:anchorId="0019E1C1" wp14:editId="70B3F310">
            <wp:extent cx="5270500" cy="3378200"/>
            <wp:effectExtent l="0" t="19050" r="0" b="69850"/>
            <wp:docPr id="14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CD557E" w:rsidRPr="00944D33" w:rsidRDefault="00CD557E" w:rsidP="00767617">
      <w:pPr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0357A8" w:rsidRPr="00944D33" w:rsidRDefault="000357A8">
      <w:pPr>
        <w:spacing w:line="240" w:lineRule="auto"/>
        <w:rPr>
          <w:rFonts w:asciiTheme="minorHAnsi" w:hAnsiTheme="minorHAnsi"/>
          <w:b/>
          <w:bCs/>
          <w:color w:val="auto"/>
          <w:spacing w:val="0"/>
          <w:sz w:val="26"/>
          <w:szCs w:val="26"/>
          <w:lang w:val="hr-BA"/>
        </w:rPr>
      </w:pPr>
      <w:bookmarkStart w:id="49" w:name="_Toc442208259"/>
      <w:bookmarkStart w:id="50" w:name="_Toc442208308"/>
      <w:bookmarkStart w:id="51" w:name="_Toc442215009"/>
      <w:r w:rsidRPr="00944D33">
        <w:rPr>
          <w:rFonts w:asciiTheme="minorHAnsi" w:hAnsiTheme="minorHAnsi"/>
          <w:color w:val="auto"/>
          <w:lang w:val="hr-BA"/>
        </w:rPr>
        <w:br w:type="page"/>
      </w:r>
    </w:p>
    <w:p w:rsidR="00E52A6C" w:rsidRPr="00944D33" w:rsidRDefault="00E52A6C" w:rsidP="000B5190">
      <w:pPr>
        <w:pStyle w:val="Heading2"/>
        <w:rPr>
          <w:rFonts w:asciiTheme="minorHAnsi" w:hAnsiTheme="minorHAnsi"/>
          <w:color w:val="auto"/>
          <w:lang w:val="hr-BA"/>
        </w:rPr>
      </w:pPr>
      <w:bookmarkStart w:id="52" w:name="_Toc502136575"/>
      <w:r w:rsidRPr="00944D33">
        <w:rPr>
          <w:rFonts w:asciiTheme="minorHAnsi" w:hAnsiTheme="minorHAnsi"/>
          <w:color w:val="auto"/>
          <w:lang w:val="hr-BA"/>
        </w:rPr>
        <w:t xml:space="preserve">Strateški cilj 1: </w:t>
      </w:r>
      <w:r w:rsidR="00085379" w:rsidRPr="00944D33">
        <w:rPr>
          <w:rFonts w:asciiTheme="minorHAnsi" w:hAnsiTheme="minorHAnsi"/>
          <w:color w:val="auto"/>
          <w:lang w:val="hr-BA"/>
        </w:rPr>
        <w:t>Smanjiti broj starih predmeta</w:t>
      </w:r>
      <w:bookmarkEnd w:id="49"/>
      <w:bookmarkEnd w:id="50"/>
      <w:bookmarkEnd w:id="51"/>
      <w:bookmarkEnd w:id="52"/>
    </w:p>
    <w:p w:rsidR="00EB7047" w:rsidRPr="00944D33" w:rsidRDefault="00EB7047" w:rsidP="00EB7047">
      <w:pPr>
        <w:jc w:val="both"/>
        <w:rPr>
          <w:rFonts w:asciiTheme="minorHAnsi" w:hAnsiTheme="minorHAnsi"/>
          <w:color w:val="auto"/>
          <w:spacing w:val="0"/>
          <w:sz w:val="24"/>
          <w:szCs w:val="20"/>
          <w:lang w:val="hr-BA"/>
        </w:rPr>
      </w:pPr>
    </w:p>
    <w:p w:rsidR="00767617" w:rsidRPr="00944D33" w:rsidRDefault="00CB27CD" w:rsidP="00B50865">
      <w:pPr>
        <w:jc w:val="both"/>
        <w:rPr>
          <w:rFonts w:asciiTheme="minorHAnsi" w:hAnsiTheme="minorHAnsi"/>
          <w:color w:val="auto"/>
          <w:spacing w:val="0"/>
          <w:sz w:val="24"/>
          <w:szCs w:val="20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0"/>
          <w:lang w:val="hr-BA"/>
        </w:rPr>
        <w:t xml:space="preserve">Za period </w:t>
      </w:r>
      <w:r w:rsidR="00A72637">
        <w:rPr>
          <w:rFonts w:asciiTheme="minorHAnsi" w:hAnsiTheme="minorHAnsi"/>
          <w:color w:val="auto"/>
          <w:spacing w:val="0"/>
          <w:sz w:val="24"/>
          <w:szCs w:val="20"/>
          <w:lang w:val="hr-BA"/>
        </w:rPr>
        <w:t>2019 – 2021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0"/>
          <w:lang w:val="hr-BA"/>
        </w:rPr>
        <w:t>.</w:t>
      </w:r>
      <w:r w:rsidR="00767617" w:rsidRPr="00944D33">
        <w:rPr>
          <w:rFonts w:asciiTheme="minorHAnsi" w:hAnsiTheme="minorHAnsi"/>
          <w:color w:val="auto"/>
          <w:spacing w:val="0"/>
          <w:sz w:val="24"/>
          <w:szCs w:val="20"/>
          <w:lang w:val="hr-BA"/>
        </w:rPr>
        <w:t xml:space="preserve"> godina, postav</w:t>
      </w:r>
      <w:r w:rsidR="00B50865" w:rsidRPr="00944D33">
        <w:rPr>
          <w:rFonts w:asciiTheme="minorHAnsi" w:hAnsiTheme="minorHAnsi"/>
          <w:color w:val="auto"/>
          <w:spacing w:val="0"/>
          <w:sz w:val="24"/>
          <w:szCs w:val="20"/>
          <w:lang w:val="hr-BA"/>
        </w:rPr>
        <w:t>ljen</w:t>
      </w:r>
      <w:r w:rsidR="00767617" w:rsidRPr="00944D33">
        <w:rPr>
          <w:rFonts w:asciiTheme="minorHAnsi" w:hAnsiTheme="minorHAnsi"/>
          <w:color w:val="auto"/>
          <w:spacing w:val="0"/>
          <w:sz w:val="24"/>
          <w:szCs w:val="20"/>
          <w:lang w:val="hr-BA"/>
        </w:rPr>
        <w:t xml:space="preserve"> je cilj da smanji broj starih predmeta, konkretno kroz realizaciju sljedećih ciljanih rezultata:</w:t>
      </w:r>
    </w:p>
    <w:p w:rsidR="00803EA8" w:rsidRPr="00944D33" w:rsidRDefault="00803EA8" w:rsidP="00803EA8">
      <w:pPr>
        <w:numPr>
          <w:ilvl w:val="0"/>
          <w:numId w:val="29"/>
        </w:numPr>
        <w:jc w:val="both"/>
        <w:rPr>
          <w:rFonts w:asciiTheme="minorHAnsi" w:hAnsiTheme="minorHAnsi"/>
          <w:color w:val="auto"/>
          <w:spacing w:val="0"/>
          <w:sz w:val="24"/>
          <w:szCs w:val="20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0"/>
          <w:lang w:val="hr-BA"/>
        </w:rPr>
        <w:t xml:space="preserve">Smanjiti broj neriješenih KT predmeta starijih od dvije godine </w:t>
      </w:r>
    </w:p>
    <w:p w:rsidR="00767617" w:rsidRPr="00944D33" w:rsidRDefault="00803EA8" w:rsidP="00803EA8">
      <w:pPr>
        <w:numPr>
          <w:ilvl w:val="0"/>
          <w:numId w:val="29"/>
        </w:numPr>
        <w:jc w:val="both"/>
        <w:rPr>
          <w:rFonts w:asciiTheme="minorHAnsi" w:hAnsiTheme="minorHAnsi"/>
          <w:color w:val="auto"/>
          <w:spacing w:val="0"/>
          <w:sz w:val="24"/>
          <w:szCs w:val="20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0"/>
          <w:lang w:val="hr-BA"/>
        </w:rPr>
        <w:t>Smanjiti broj neriješenih KTA predmeta starijih od dvije godine</w:t>
      </w:r>
    </w:p>
    <w:p w:rsidR="00B50865" w:rsidRPr="00944D33" w:rsidRDefault="00B50865" w:rsidP="00B50865">
      <w:pPr>
        <w:pStyle w:val="Heading3"/>
      </w:pPr>
      <w:bookmarkStart w:id="53" w:name="_Toc442208260"/>
      <w:bookmarkStart w:id="54" w:name="_Toc442208309"/>
      <w:bookmarkStart w:id="55" w:name="_Toc442215010"/>
    </w:p>
    <w:p w:rsidR="00767617" w:rsidRPr="00944D33" w:rsidRDefault="00767617" w:rsidP="00B50865">
      <w:pPr>
        <w:pStyle w:val="Heading3"/>
      </w:pPr>
      <w:r w:rsidRPr="00944D33">
        <w:t>Ciljani rezultat 1.1.:</w:t>
      </w:r>
      <w:bookmarkEnd w:id="53"/>
      <w:bookmarkEnd w:id="54"/>
      <w:bookmarkEnd w:id="55"/>
      <w:r w:rsidR="004F770D" w:rsidRPr="00944D33">
        <w:rPr>
          <w:rFonts w:eastAsia="MS Gothic"/>
        </w:rPr>
        <w:t xml:space="preserve"> </w:t>
      </w:r>
      <w:r w:rsidR="004F770D" w:rsidRPr="00944D33">
        <w:t>Smanjiti broj neriješenih KT predmeta starijih od dvije godine</w:t>
      </w:r>
    </w:p>
    <w:p w:rsidR="00767617" w:rsidRPr="00944D33" w:rsidRDefault="00767617" w:rsidP="00767617">
      <w:pPr>
        <w:ind w:left="720"/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767617" w:rsidRPr="00944D33" w:rsidRDefault="004D63E4" w:rsidP="004D63E4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Prema podacima o broju neriješenih KT pre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dmeta starijih od dvije godine tokom 2018. godine je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nivou tužilačkog sistema Federacije BiH postignuto smanjenje broja neri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ješenih KT starih predmeta od 64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% u odno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su na broj zabilježen 31.12.2017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 godine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, te 18% u odnosu na i stare predmete koji su međuvremenu ostarili. </w:t>
      </w:r>
      <w:r w:rsidR="00B5086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Pored toga usaglašeno je da će se težiti smanjenju ukupnog broja starih KT predmeta. </w:t>
      </w:r>
      <w:r w:rsidR="00CB27CD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Uvažavajući ovo, p</w:t>
      </w:r>
      <w:r w:rsidR="00767617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lanirana dinamika realizacije ovog c</w:t>
      </w:r>
      <w:r w:rsidR="00CB27CD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iljanog rezultata za period 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2019 – 2021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godina</w:t>
      </w:r>
      <w:r w:rsidR="00767617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</w:t>
      </w:r>
      <w:r w:rsidR="00CB27CD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će biti:</w:t>
      </w:r>
    </w:p>
    <w:p w:rsidR="00ED11B6" w:rsidRPr="00944D33" w:rsidRDefault="00ED11B6" w:rsidP="00ED11B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tbl>
      <w:tblPr>
        <w:tblW w:w="0" w:type="auto"/>
        <w:tblBorders>
          <w:top w:val="single" w:sz="8" w:space="0" w:color="A88AB1"/>
          <w:left w:val="single" w:sz="8" w:space="0" w:color="A88AB1"/>
          <w:bottom w:val="single" w:sz="8" w:space="0" w:color="A88AB1"/>
          <w:right w:val="single" w:sz="8" w:space="0" w:color="A88AB1"/>
          <w:insideH w:val="single" w:sz="8" w:space="0" w:color="A88AB1"/>
          <w:insideV w:val="single" w:sz="8" w:space="0" w:color="A88AB1"/>
        </w:tblBorders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295378" w:rsidRPr="00944D33" w:rsidTr="008D60BD">
        <w:tc>
          <w:tcPr>
            <w:tcW w:w="3432" w:type="dxa"/>
            <w:shd w:val="clear" w:color="auto" w:fill="E2D8E5"/>
          </w:tcPr>
          <w:p w:rsidR="00E52A6C" w:rsidRPr="00944D33" w:rsidRDefault="00CD557E" w:rsidP="004D63E4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b/>
                <w:bCs/>
                <w:color w:val="auto"/>
                <w:lang w:val="hr-BA"/>
              </w:rPr>
              <w:t>201</w:t>
            </w:r>
            <w:r w:rsidR="00F35C8E">
              <w:rPr>
                <w:rFonts w:asciiTheme="minorHAnsi" w:hAnsiTheme="minorHAnsi"/>
                <w:b/>
                <w:bCs/>
                <w:color w:val="auto"/>
                <w:lang w:val="hr-BA"/>
              </w:rPr>
              <w:t>9</w:t>
            </w:r>
          </w:p>
        </w:tc>
        <w:tc>
          <w:tcPr>
            <w:tcW w:w="3432" w:type="dxa"/>
            <w:shd w:val="clear" w:color="auto" w:fill="E2D8E5"/>
          </w:tcPr>
          <w:p w:rsidR="00E52A6C" w:rsidRPr="00944D33" w:rsidRDefault="00F35C8E" w:rsidP="008D60B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2020</w:t>
            </w:r>
          </w:p>
        </w:tc>
        <w:tc>
          <w:tcPr>
            <w:tcW w:w="3432" w:type="dxa"/>
            <w:shd w:val="clear" w:color="auto" w:fill="E2D8E5"/>
          </w:tcPr>
          <w:p w:rsidR="00E52A6C" w:rsidRPr="00944D33" w:rsidRDefault="00F35C8E" w:rsidP="008D60B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2021</w:t>
            </w:r>
          </w:p>
        </w:tc>
      </w:tr>
      <w:tr w:rsidR="00295378" w:rsidRPr="00944D33" w:rsidTr="001A1753">
        <w:tc>
          <w:tcPr>
            <w:tcW w:w="3432" w:type="dxa"/>
            <w:shd w:val="clear" w:color="auto" w:fill="auto"/>
          </w:tcPr>
          <w:p w:rsidR="004D63E4" w:rsidRPr="00944D33" w:rsidRDefault="001A1753" w:rsidP="009844B5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Smanjiti broj starih neriješenih KT predmeta za </w:t>
            </w:r>
            <w:r w:rsidR="004D63E4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50% u odnosu na</w:t>
            </w:r>
            <w:r w:rsidR="00F35C8E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 broj predmeta na dan 31.12.2018</w:t>
            </w:r>
            <w:r w:rsidR="004D63E4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 godine</w:t>
            </w:r>
          </w:p>
          <w:p w:rsidR="00C906F4" w:rsidRPr="00944D33" w:rsidRDefault="009844B5" w:rsidP="009844B5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Smanjiti ukupan broj  starih neriješenih KT predmeta za </w:t>
            </w:r>
            <w:r w:rsidR="004D63E4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10% </w:t>
            </w:r>
          </w:p>
        </w:tc>
        <w:tc>
          <w:tcPr>
            <w:tcW w:w="3432" w:type="dxa"/>
            <w:shd w:val="clear" w:color="auto" w:fill="auto"/>
          </w:tcPr>
          <w:p w:rsidR="004D63E4" w:rsidRPr="00944D33" w:rsidRDefault="009844B5" w:rsidP="009844B5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Smanjiti broj starih neriješenih KT predmeta za 50% u </w:t>
            </w:r>
            <w:r w:rsidR="004D63E4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odnosu na</w:t>
            </w:r>
            <w:r w:rsidR="00F35C8E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 broj predmeta na dan 31.12.2019</w:t>
            </w:r>
            <w:r w:rsidR="004D63E4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 godine</w:t>
            </w:r>
          </w:p>
          <w:p w:rsidR="00C906F4" w:rsidRPr="00944D33" w:rsidRDefault="009844B5" w:rsidP="009844B5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Smanjiti ukupan broj  starih neriješenih KT predmeta za 10% </w:t>
            </w:r>
          </w:p>
        </w:tc>
        <w:tc>
          <w:tcPr>
            <w:tcW w:w="3432" w:type="dxa"/>
            <w:shd w:val="clear" w:color="auto" w:fill="auto"/>
          </w:tcPr>
          <w:p w:rsidR="00F35C8E" w:rsidRPr="00F35C8E" w:rsidRDefault="00F35C8E" w:rsidP="00F35C8E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F35C8E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U 2021. godini će se broj svih neriješenih starih predmeta starijih od dvije godine smanjiti za</w:t>
            </w:r>
          </w:p>
          <w:p w:rsidR="00C906F4" w:rsidRPr="00944D33" w:rsidRDefault="00F35C8E" w:rsidP="00F35C8E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F35C8E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10%</w:t>
            </w:r>
          </w:p>
        </w:tc>
      </w:tr>
    </w:tbl>
    <w:p w:rsidR="00780F0C" w:rsidRPr="00944D33" w:rsidRDefault="00780F0C" w:rsidP="00293EBF">
      <w:pPr>
        <w:rPr>
          <w:rFonts w:asciiTheme="minorHAnsi" w:hAnsiTheme="minorHAnsi"/>
          <w:color w:val="auto"/>
          <w:lang w:val="hr-BA"/>
        </w:rPr>
      </w:pPr>
    </w:p>
    <w:p w:rsidR="00767617" w:rsidRPr="00944D33" w:rsidRDefault="00767617" w:rsidP="00B50865">
      <w:pPr>
        <w:pStyle w:val="Heading3"/>
      </w:pPr>
      <w:bookmarkStart w:id="56" w:name="_Toc442208261"/>
      <w:bookmarkStart w:id="57" w:name="_Toc442208310"/>
      <w:bookmarkStart w:id="58" w:name="_Toc442215011"/>
      <w:r w:rsidRPr="00944D33">
        <w:t xml:space="preserve">Ciljani rezultat 1.2.: </w:t>
      </w:r>
      <w:bookmarkEnd w:id="56"/>
      <w:bookmarkEnd w:id="57"/>
      <w:bookmarkEnd w:id="58"/>
      <w:r w:rsidR="004F770D" w:rsidRPr="00944D33">
        <w:t>Smanjiti broj neriješenih KTA predmeta starijih od dvije godine</w:t>
      </w:r>
    </w:p>
    <w:p w:rsidR="00767617" w:rsidRPr="00944D33" w:rsidRDefault="00767617" w:rsidP="00767617">
      <w:pPr>
        <w:rPr>
          <w:rFonts w:asciiTheme="minorHAnsi" w:hAnsiTheme="minorHAnsi"/>
          <w:color w:val="auto"/>
          <w:lang w:val="hr-BA"/>
        </w:rPr>
      </w:pPr>
    </w:p>
    <w:p w:rsidR="008D60BD" w:rsidRPr="00944D33" w:rsidRDefault="004D63E4" w:rsidP="00B50865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Prema podacima o broju neriješenih KTA predmeta star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ijih od dvije godine u toku 2018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 godi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ne ostvareno je smanjenje od 77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% u odnosu na 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broj koji je zatečen na 1.1.2018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 godine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, i 12% u odnosu na i stare predmete koji su međuvremenu ostarili. </w:t>
      </w:r>
      <w:r w:rsidR="00B5086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Pored toga usaglašeno je da će se težiti smanjenju ukupnog broja starih KT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A</w:t>
      </w:r>
      <w:r w:rsidR="00B5086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predmeta.  </w:t>
      </w:r>
      <w:r w:rsidR="00CB27CD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S toga se planira da dinamika realizacije ciljanog rezultata za period </w:t>
      </w:r>
      <w:r w:rsidR="00F35C8E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2019 – 2021. godinu</w:t>
      </w:r>
      <w:r w:rsidR="00CB27CD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za sva tužilaštva u Federaciji BiH bude: </w:t>
      </w:r>
    </w:p>
    <w:p w:rsidR="00CB27CD" w:rsidRPr="00944D33" w:rsidRDefault="00CB27CD" w:rsidP="00CB27CD">
      <w:pPr>
        <w:pStyle w:val="ColorfulList-Accent11"/>
        <w:jc w:val="both"/>
        <w:rPr>
          <w:rFonts w:asciiTheme="minorHAnsi" w:hAnsiTheme="minorHAnsi"/>
          <w:color w:val="auto"/>
          <w:lang w:val="hr-BA"/>
        </w:rPr>
      </w:pPr>
    </w:p>
    <w:tbl>
      <w:tblPr>
        <w:tblW w:w="0" w:type="auto"/>
        <w:tblBorders>
          <w:top w:val="single" w:sz="8" w:space="0" w:color="A88AB1"/>
          <w:left w:val="single" w:sz="8" w:space="0" w:color="A88AB1"/>
          <w:bottom w:val="single" w:sz="8" w:space="0" w:color="A88AB1"/>
          <w:right w:val="single" w:sz="8" w:space="0" w:color="A88AB1"/>
          <w:insideH w:val="single" w:sz="8" w:space="0" w:color="A88AB1"/>
          <w:insideV w:val="single" w:sz="8" w:space="0" w:color="A88AB1"/>
        </w:tblBorders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295378" w:rsidRPr="00944D33" w:rsidTr="008D60BD">
        <w:tc>
          <w:tcPr>
            <w:tcW w:w="3432" w:type="dxa"/>
            <w:shd w:val="clear" w:color="auto" w:fill="E2D8E5"/>
          </w:tcPr>
          <w:p w:rsidR="004D63E4" w:rsidRPr="00944D33" w:rsidRDefault="00F35C8E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2019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F35C8E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2020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F35C8E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2021</w:t>
            </w:r>
          </w:p>
        </w:tc>
      </w:tr>
      <w:tr w:rsidR="00F35C8E" w:rsidRPr="00944D33" w:rsidTr="0092626D">
        <w:tc>
          <w:tcPr>
            <w:tcW w:w="3432" w:type="dxa"/>
            <w:shd w:val="clear" w:color="auto" w:fill="auto"/>
          </w:tcPr>
          <w:p w:rsidR="00F35C8E" w:rsidRPr="00944D33" w:rsidRDefault="00F35C8E" w:rsidP="00E7532A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Smanjiti broj starih neriješenih KT predmeta za 50% u odnosu na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 broj predmeta na dan 31.12.2018</w:t>
            </w: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 godine</w:t>
            </w:r>
          </w:p>
          <w:p w:rsidR="00F35C8E" w:rsidRPr="00944D33" w:rsidRDefault="00F35C8E" w:rsidP="0092626D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Smanjiti ukupan broj  starih neriješenih KT predmeta za 10% </w:t>
            </w:r>
          </w:p>
        </w:tc>
        <w:tc>
          <w:tcPr>
            <w:tcW w:w="3432" w:type="dxa"/>
            <w:shd w:val="clear" w:color="auto" w:fill="auto"/>
          </w:tcPr>
          <w:p w:rsidR="00F35C8E" w:rsidRPr="00944D33" w:rsidRDefault="00F35C8E" w:rsidP="00E7532A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Smanjiti broj starih neriješenih KT predmeta za 50% u odnosu na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 broj predmeta na dan 31.12.2019</w:t>
            </w: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 godine</w:t>
            </w:r>
          </w:p>
          <w:p w:rsidR="00F35C8E" w:rsidRPr="00944D33" w:rsidRDefault="00F35C8E" w:rsidP="0092626D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Smanjiti ukupan broj  starih neriješenih KT predmeta za 10% </w:t>
            </w:r>
          </w:p>
        </w:tc>
        <w:tc>
          <w:tcPr>
            <w:tcW w:w="3432" w:type="dxa"/>
            <w:shd w:val="clear" w:color="auto" w:fill="auto"/>
          </w:tcPr>
          <w:p w:rsidR="00F35C8E" w:rsidRPr="00F35C8E" w:rsidRDefault="00F35C8E" w:rsidP="00E7532A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F35C8E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U 2021. godini će se broj svih neriješenih starih predmeta starijih od dvije godine smanjiti za</w:t>
            </w:r>
          </w:p>
          <w:p w:rsidR="00F35C8E" w:rsidRPr="00944D33" w:rsidRDefault="00F35C8E" w:rsidP="0092626D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F35C8E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10%</w:t>
            </w:r>
          </w:p>
        </w:tc>
      </w:tr>
    </w:tbl>
    <w:p w:rsidR="00F35C8E" w:rsidRDefault="00F35C8E" w:rsidP="00DA2F92">
      <w:pPr>
        <w:pStyle w:val="Heading2"/>
        <w:rPr>
          <w:rFonts w:asciiTheme="minorHAnsi" w:hAnsiTheme="minorHAnsi"/>
          <w:color w:val="auto"/>
          <w:lang w:val="hr-BA"/>
        </w:rPr>
      </w:pPr>
      <w:bookmarkStart w:id="59" w:name="_Toc442208262"/>
      <w:bookmarkStart w:id="60" w:name="_Toc442208311"/>
      <w:bookmarkStart w:id="61" w:name="_Toc442215012"/>
      <w:bookmarkStart w:id="62" w:name="_Toc502136576"/>
    </w:p>
    <w:p w:rsidR="00406F88" w:rsidRPr="00944D33" w:rsidRDefault="00406F88" w:rsidP="00DA2F92">
      <w:pPr>
        <w:pStyle w:val="Heading2"/>
        <w:rPr>
          <w:rFonts w:asciiTheme="minorHAnsi" w:hAnsiTheme="minorHAnsi"/>
          <w:color w:val="auto"/>
          <w:lang w:val="hr-BA"/>
        </w:rPr>
      </w:pPr>
      <w:r w:rsidRPr="00944D33">
        <w:rPr>
          <w:rFonts w:asciiTheme="minorHAnsi" w:hAnsiTheme="minorHAnsi"/>
          <w:color w:val="auto"/>
          <w:lang w:val="hr-BA"/>
        </w:rPr>
        <w:t xml:space="preserve">Strateški cilj 2: </w:t>
      </w:r>
      <w:r w:rsidR="00902EB6" w:rsidRPr="00944D33">
        <w:rPr>
          <w:rFonts w:asciiTheme="minorHAnsi" w:hAnsiTheme="minorHAnsi"/>
          <w:color w:val="auto"/>
          <w:lang w:val="hr-BA"/>
        </w:rPr>
        <w:t>Povećati efikasnost i</w:t>
      </w:r>
      <w:r w:rsidRPr="00944D33">
        <w:rPr>
          <w:rFonts w:asciiTheme="minorHAnsi" w:hAnsiTheme="minorHAnsi"/>
          <w:color w:val="auto"/>
          <w:lang w:val="hr-BA"/>
        </w:rPr>
        <w:t xml:space="preserve"> kvalitet rada tužilaštava</w:t>
      </w:r>
      <w:bookmarkEnd w:id="59"/>
      <w:bookmarkEnd w:id="60"/>
      <w:bookmarkEnd w:id="61"/>
      <w:bookmarkEnd w:id="62"/>
    </w:p>
    <w:p w:rsidR="00B50865" w:rsidRPr="00944D33" w:rsidRDefault="00B50865" w:rsidP="00B50865">
      <w:pPr>
        <w:pStyle w:val="Heading3"/>
      </w:pPr>
      <w:bookmarkStart w:id="63" w:name="_Toc344495175"/>
      <w:bookmarkStart w:id="64" w:name="_Toc442208263"/>
      <w:bookmarkStart w:id="65" w:name="_Toc442208312"/>
      <w:bookmarkStart w:id="66" w:name="_Toc442211694"/>
      <w:bookmarkStart w:id="67" w:name="_Toc442215013"/>
      <w:bookmarkStart w:id="68" w:name="_Toc442215093"/>
    </w:p>
    <w:p w:rsidR="00767617" w:rsidRPr="00944D33" w:rsidRDefault="00B4071E" w:rsidP="00B50865">
      <w:pPr>
        <w:pStyle w:val="Heading3"/>
        <w:jc w:val="both"/>
        <w:rPr>
          <w:b w:val="0"/>
          <w:bCs w:val="0"/>
          <w:szCs w:val="18"/>
        </w:rPr>
      </w:pPr>
      <w:r w:rsidRPr="00944D33">
        <w:rPr>
          <w:b w:val="0"/>
          <w:bCs w:val="0"/>
          <w:szCs w:val="18"/>
        </w:rPr>
        <w:t xml:space="preserve">Cilj povećanja efikasnosti i kvalitete rada tužilaštava će se u periodu </w:t>
      </w:r>
      <w:r w:rsidR="00590580">
        <w:rPr>
          <w:b w:val="0"/>
          <w:bCs w:val="0"/>
          <w:szCs w:val="18"/>
        </w:rPr>
        <w:t>2019 – 2021</w:t>
      </w:r>
      <w:r w:rsidR="005033F5" w:rsidRPr="00944D33">
        <w:rPr>
          <w:b w:val="0"/>
          <w:bCs w:val="0"/>
          <w:szCs w:val="18"/>
        </w:rPr>
        <w:t>.</w:t>
      </w:r>
      <w:r w:rsidR="00767617" w:rsidRPr="00944D33">
        <w:rPr>
          <w:b w:val="0"/>
          <w:bCs w:val="0"/>
          <w:szCs w:val="18"/>
        </w:rPr>
        <w:t xml:space="preserve"> </w:t>
      </w:r>
      <w:r w:rsidR="00590580">
        <w:rPr>
          <w:b w:val="0"/>
          <w:bCs w:val="0"/>
          <w:szCs w:val="18"/>
        </w:rPr>
        <w:t xml:space="preserve">Godina </w:t>
      </w:r>
      <w:r w:rsidRPr="00944D33">
        <w:rPr>
          <w:b w:val="0"/>
          <w:bCs w:val="0"/>
          <w:szCs w:val="18"/>
        </w:rPr>
        <w:t>realizovati kroz sljedeće ciljane rezultate:</w:t>
      </w:r>
      <w:bookmarkEnd w:id="63"/>
      <w:r w:rsidRPr="00944D33">
        <w:rPr>
          <w:b w:val="0"/>
          <w:bCs w:val="0"/>
          <w:szCs w:val="18"/>
        </w:rPr>
        <w:t xml:space="preserve"> </w:t>
      </w:r>
      <w:bookmarkEnd w:id="64"/>
      <w:bookmarkEnd w:id="65"/>
      <w:bookmarkEnd w:id="66"/>
      <w:bookmarkEnd w:id="67"/>
      <w:bookmarkEnd w:id="68"/>
    </w:p>
    <w:p w:rsidR="00767617" w:rsidRPr="00944D33" w:rsidRDefault="00767617" w:rsidP="00B50865">
      <w:pPr>
        <w:pStyle w:val="Heading3"/>
        <w:numPr>
          <w:ilvl w:val="0"/>
          <w:numId w:val="29"/>
        </w:numPr>
        <w:jc w:val="both"/>
        <w:rPr>
          <w:b w:val="0"/>
          <w:bCs w:val="0"/>
          <w:szCs w:val="18"/>
        </w:rPr>
      </w:pPr>
      <w:bookmarkStart w:id="69" w:name="_Toc442208264"/>
      <w:bookmarkStart w:id="70" w:name="_Toc442208313"/>
      <w:bookmarkStart w:id="71" w:name="_Toc442211695"/>
      <w:bookmarkStart w:id="72" w:name="_Toc442215014"/>
      <w:bookmarkStart w:id="73" w:name="_Toc442215094"/>
      <w:bookmarkStart w:id="74" w:name="_Toc344495176"/>
      <w:r w:rsidRPr="00944D33">
        <w:rPr>
          <w:b w:val="0"/>
          <w:bCs w:val="0"/>
          <w:szCs w:val="18"/>
        </w:rPr>
        <w:t>Skratiti prosječnu dužinu rješavanja predmeta</w:t>
      </w:r>
      <w:bookmarkEnd w:id="69"/>
      <w:bookmarkEnd w:id="70"/>
      <w:bookmarkEnd w:id="71"/>
      <w:bookmarkEnd w:id="72"/>
      <w:bookmarkEnd w:id="73"/>
      <w:bookmarkEnd w:id="74"/>
    </w:p>
    <w:p w:rsidR="00767617" w:rsidRPr="00944D33" w:rsidRDefault="00767617" w:rsidP="00B50865">
      <w:pPr>
        <w:pStyle w:val="Heading3"/>
        <w:numPr>
          <w:ilvl w:val="0"/>
          <w:numId w:val="29"/>
        </w:numPr>
        <w:jc w:val="both"/>
        <w:rPr>
          <w:b w:val="0"/>
          <w:bCs w:val="0"/>
          <w:szCs w:val="18"/>
        </w:rPr>
      </w:pPr>
      <w:bookmarkStart w:id="75" w:name="_Toc442208265"/>
      <w:bookmarkStart w:id="76" w:name="_Toc442208314"/>
      <w:bookmarkStart w:id="77" w:name="_Toc442211696"/>
      <w:bookmarkStart w:id="78" w:name="_Toc442215015"/>
      <w:bookmarkStart w:id="79" w:name="_Toc442215095"/>
      <w:bookmarkStart w:id="80" w:name="_Toc344495177"/>
      <w:r w:rsidRPr="00944D33">
        <w:rPr>
          <w:b w:val="0"/>
          <w:bCs w:val="0"/>
          <w:szCs w:val="18"/>
        </w:rPr>
        <w:t xml:space="preserve">Povećati omjer osuđujućih presuda u odnosu na </w:t>
      </w:r>
      <w:bookmarkEnd w:id="75"/>
      <w:bookmarkEnd w:id="76"/>
      <w:bookmarkEnd w:id="77"/>
      <w:bookmarkEnd w:id="78"/>
      <w:bookmarkEnd w:id="79"/>
      <w:bookmarkEnd w:id="80"/>
      <w:r w:rsidR="00590580">
        <w:rPr>
          <w:b w:val="0"/>
          <w:bCs w:val="0"/>
          <w:szCs w:val="18"/>
        </w:rPr>
        <w:t>ukupan broj presuda</w:t>
      </w:r>
    </w:p>
    <w:p w:rsidR="00767617" w:rsidRPr="00944D33" w:rsidRDefault="00767617" w:rsidP="00B50865">
      <w:pPr>
        <w:pStyle w:val="Heading3"/>
        <w:numPr>
          <w:ilvl w:val="0"/>
          <w:numId w:val="29"/>
        </w:numPr>
        <w:jc w:val="both"/>
        <w:rPr>
          <w:b w:val="0"/>
          <w:bCs w:val="0"/>
          <w:szCs w:val="18"/>
        </w:rPr>
      </w:pPr>
      <w:bookmarkStart w:id="81" w:name="_Toc442208266"/>
      <w:bookmarkStart w:id="82" w:name="_Toc442208315"/>
      <w:bookmarkStart w:id="83" w:name="_Toc442211697"/>
      <w:bookmarkStart w:id="84" w:name="_Toc442215016"/>
      <w:bookmarkStart w:id="85" w:name="_Toc442215096"/>
      <w:bookmarkStart w:id="86" w:name="_Toc344495178"/>
      <w:r w:rsidRPr="00944D33">
        <w:rPr>
          <w:b w:val="0"/>
          <w:bCs w:val="0"/>
          <w:szCs w:val="18"/>
        </w:rPr>
        <w:t>Smanjiti omjer uvaženih pritužbi u odnosu na broj uloženih pritužbi na negativne tužilačke odluk</w:t>
      </w:r>
      <w:bookmarkEnd w:id="81"/>
      <w:bookmarkEnd w:id="82"/>
      <w:bookmarkEnd w:id="83"/>
      <w:r w:rsidRPr="00944D33">
        <w:rPr>
          <w:b w:val="0"/>
          <w:bCs w:val="0"/>
          <w:szCs w:val="18"/>
        </w:rPr>
        <w:t>e</w:t>
      </w:r>
      <w:bookmarkEnd w:id="84"/>
      <w:bookmarkEnd w:id="85"/>
      <w:bookmarkEnd w:id="86"/>
      <w:r w:rsidRPr="00944D33">
        <w:rPr>
          <w:b w:val="0"/>
          <w:bCs w:val="0"/>
          <w:szCs w:val="18"/>
        </w:rPr>
        <w:t xml:space="preserve"> </w:t>
      </w:r>
    </w:p>
    <w:p w:rsidR="00767617" w:rsidRPr="00944D33" w:rsidRDefault="00767617" w:rsidP="00B50865">
      <w:pPr>
        <w:pStyle w:val="Heading3"/>
        <w:numPr>
          <w:ilvl w:val="0"/>
          <w:numId w:val="29"/>
        </w:numPr>
        <w:jc w:val="both"/>
        <w:rPr>
          <w:b w:val="0"/>
          <w:bCs w:val="0"/>
          <w:szCs w:val="18"/>
        </w:rPr>
      </w:pPr>
      <w:bookmarkStart w:id="87" w:name="_Toc442208267"/>
      <w:bookmarkStart w:id="88" w:name="_Toc442208316"/>
      <w:bookmarkStart w:id="89" w:name="_Toc442211698"/>
      <w:bookmarkStart w:id="90" w:name="_Toc442215017"/>
      <w:bookmarkStart w:id="91" w:name="_Toc442215097"/>
      <w:bookmarkStart w:id="92" w:name="_Toc344495179"/>
      <w:r w:rsidRPr="00944D33">
        <w:rPr>
          <w:b w:val="0"/>
          <w:bCs w:val="0"/>
          <w:szCs w:val="18"/>
        </w:rPr>
        <w:t>Smanjiti broj neriješenih prijava</w:t>
      </w:r>
      <w:bookmarkEnd w:id="87"/>
      <w:bookmarkEnd w:id="88"/>
      <w:bookmarkEnd w:id="89"/>
      <w:bookmarkEnd w:id="90"/>
      <w:bookmarkEnd w:id="91"/>
      <w:bookmarkEnd w:id="92"/>
    </w:p>
    <w:p w:rsidR="00767617" w:rsidRPr="00944D33" w:rsidRDefault="00767617" w:rsidP="00B50865">
      <w:pPr>
        <w:pStyle w:val="Heading3"/>
        <w:numPr>
          <w:ilvl w:val="0"/>
          <w:numId w:val="29"/>
        </w:numPr>
        <w:jc w:val="both"/>
        <w:rPr>
          <w:b w:val="0"/>
          <w:bCs w:val="0"/>
          <w:szCs w:val="18"/>
        </w:rPr>
      </w:pPr>
      <w:bookmarkStart w:id="93" w:name="_Toc442208268"/>
      <w:bookmarkStart w:id="94" w:name="_Toc442208317"/>
      <w:bookmarkStart w:id="95" w:name="_Toc442211699"/>
      <w:bookmarkStart w:id="96" w:name="_Toc442215018"/>
      <w:bookmarkStart w:id="97" w:name="_Toc442215098"/>
      <w:bookmarkStart w:id="98" w:name="_Toc344495180"/>
      <w:r w:rsidRPr="00944D33">
        <w:rPr>
          <w:b w:val="0"/>
          <w:bCs w:val="0"/>
          <w:szCs w:val="18"/>
        </w:rPr>
        <w:t>Smanjiti broj neriješenih istraga</w:t>
      </w:r>
      <w:bookmarkEnd w:id="93"/>
      <w:bookmarkEnd w:id="94"/>
      <w:bookmarkEnd w:id="95"/>
      <w:bookmarkEnd w:id="96"/>
      <w:bookmarkEnd w:id="97"/>
      <w:bookmarkEnd w:id="98"/>
    </w:p>
    <w:p w:rsidR="00B4071E" w:rsidRPr="00944D33" w:rsidRDefault="00B4071E" w:rsidP="00B4071E">
      <w:pPr>
        <w:rPr>
          <w:rFonts w:asciiTheme="minorHAnsi" w:hAnsiTheme="minorHAnsi"/>
          <w:color w:val="auto"/>
          <w:lang w:val="hr-BA"/>
        </w:rPr>
      </w:pPr>
    </w:p>
    <w:p w:rsidR="00B50865" w:rsidRPr="00944D33" w:rsidRDefault="00B50865" w:rsidP="00B4071E">
      <w:pPr>
        <w:rPr>
          <w:rFonts w:asciiTheme="minorHAnsi" w:hAnsiTheme="minorHAnsi"/>
          <w:color w:val="auto"/>
          <w:lang w:val="hr-BA"/>
        </w:rPr>
      </w:pPr>
    </w:p>
    <w:p w:rsidR="00767617" w:rsidRPr="00944D33" w:rsidRDefault="00767617" w:rsidP="00B50865">
      <w:pPr>
        <w:pStyle w:val="Heading3"/>
      </w:pPr>
      <w:bookmarkStart w:id="99" w:name="_Toc442208269"/>
      <w:bookmarkStart w:id="100" w:name="_Toc442208318"/>
      <w:bookmarkStart w:id="101" w:name="_Toc442215019"/>
      <w:r w:rsidRPr="00944D33">
        <w:t>Ciljani rezultat 2.1.: Skratiti prosječnu dužinu rješavanja predmeta</w:t>
      </w:r>
      <w:bookmarkEnd w:id="99"/>
      <w:bookmarkEnd w:id="100"/>
      <w:bookmarkEnd w:id="101"/>
    </w:p>
    <w:p w:rsidR="00767617" w:rsidRPr="00944D33" w:rsidRDefault="00767617" w:rsidP="00767617">
      <w:pPr>
        <w:ind w:left="720"/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767617" w:rsidRPr="00944D33" w:rsidRDefault="004D63E4" w:rsidP="004D63E4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Prosječna dužina trajanja predmeta je pokazatelj efikasnosti rada tužilaštava i po tom pokazatelju, na nivou svih tužilaštava u Fed</w:t>
      </w:r>
      <w:r w:rsidR="00590580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eraciji BiH je u toku 2018. godine došlo do smanjenja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prosj</w:t>
      </w:r>
      <w:r w:rsidR="00590580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>ečne dužine trajanja predmeta sa 266 na 230</w:t>
      </w:r>
      <w:r w:rsidRPr="00944D33">
        <w:rPr>
          <w:rFonts w:asciiTheme="minorHAnsi" w:hAnsiTheme="minorHAnsi"/>
          <w:color w:val="auto"/>
          <w:spacing w:val="0"/>
          <w:sz w:val="24"/>
          <w:szCs w:val="18"/>
          <w:lang w:val="hr-BA"/>
        </w:rPr>
        <w:t xml:space="preserve"> dana. </w:t>
      </w:r>
      <w:r w:rsidR="00B4071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Kako ovaj ciljani rezultat u mnogome zavisi o ciljanih rezultata 1.1 i 1.2, planirana d</w:t>
      </w:r>
      <w:r w:rsidR="00767617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inamika realizacije ovog ciljanog rezultata </w:t>
      </w:r>
      <w:r w:rsidR="00B4071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za period </w:t>
      </w:r>
      <w:r w:rsidR="0059058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2019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–</w:t>
      </w:r>
      <w:r w:rsidR="0059058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2021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59058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godina</w:t>
      </w:r>
      <w:r w:rsidR="00B4071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će biti:  </w:t>
      </w:r>
      <w:r w:rsidR="00767617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</w:t>
      </w:r>
    </w:p>
    <w:p w:rsidR="00DA2F92" w:rsidRPr="00944D33" w:rsidRDefault="00DA2F92" w:rsidP="00DA2F92">
      <w:pPr>
        <w:rPr>
          <w:rFonts w:asciiTheme="minorHAnsi" w:hAnsiTheme="minorHAnsi"/>
          <w:color w:val="auto"/>
          <w:lang w:val="hr-BA"/>
        </w:rPr>
      </w:pPr>
    </w:p>
    <w:tbl>
      <w:tblPr>
        <w:tblW w:w="0" w:type="auto"/>
        <w:tblBorders>
          <w:top w:val="single" w:sz="8" w:space="0" w:color="A88AB1"/>
          <w:left w:val="single" w:sz="8" w:space="0" w:color="A88AB1"/>
          <w:bottom w:val="single" w:sz="8" w:space="0" w:color="A88AB1"/>
          <w:right w:val="single" w:sz="8" w:space="0" w:color="A88AB1"/>
          <w:insideH w:val="single" w:sz="8" w:space="0" w:color="A88AB1"/>
          <w:insideV w:val="single" w:sz="8" w:space="0" w:color="A88AB1"/>
        </w:tblBorders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295378" w:rsidRPr="00944D33" w:rsidTr="00790939">
        <w:tc>
          <w:tcPr>
            <w:tcW w:w="3432" w:type="dxa"/>
            <w:shd w:val="clear" w:color="auto" w:fill="E2D8E5"/>
          </w:tcPr>
          <w:p w:rsidR="004D63E4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2019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2020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2021</w:t>
            </w:r>
          </w:p>
        </w:tc>
      </w:tr>
      <w:tr w:rsidR="00295378" w:rsidRPr="00944D33" w:rsidTr="001A1753">
        <w:tc>
          <w:tcPr>
            <w:tcW w:w="3432" w:type="dxa"/>
            <w:shd w:val="clear" w:color="auto" w:fill="auto"/>
          </w:tcPr>
          <w:p w:rsidR="00456483" w:rsidRPr="00944D33" w:rsidRDefault="00C906F4" w:rsidP="00790939">
            <w:pPr>
              <w:jc w:val="center"/>
              <w:rPr>
                <w:rFonts w:asciiTheme="minorHAnsi" w:hAnsiTheme="minorHAnsi"/>
                <w:bCs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bCs/>
                <w:color w:val="auto"/>
                <w:lang w:val="hr-BA"/>
              </w:rPr>
              <w:t>220</w:t>
            </w:r>
          </w:p>
        </w:tc>
        <w:tc>
          <w:tcPr>
            <w:tcW w:w="3432" w:type="dxa"/>
            <w:shd w:val="clear" w:color="auto" w:fill="auto"/>
          </w:tcPr>
          <w:p w:rsidR="00456483" w:rsidRPr="00944D33" w:rsidRDefault="00C906F4" w:rsidP="00790939">
            <w:pPr>
              <w:jc w:val="center"/>
              <w:rPr>
                <w:rFonts w:asciiTheme="minorHAnsi" w:hAnsiTheme="minorHAnsi"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lang w:val="hr-BA"/>
              </w:rPr>
              <w:t>200</w:t>
            </w:r>
          </w:p>
        </w:tc>
        <w:tc>
          <w:tcPr>
            <w:tcW w:w="3432" w:type="dxa"/>
            <w:shd w:val="clear" w:color="auto" w:fill="auto"/>
          </w:tcPr>
          <w:p w:rsidR="00456483" w:rsidRPr="00944D33" w:rsidRDefault="00C906F4" w:rsidP="00C906F4">
            <w:pPr>
              <w:jc w:val="center"/>
              <w:rPr>
                <w:rFonts w:asciiTheme="minorHAnsi" w:hAnsiTheme="minorHAnsi"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lang w:val="hr-BA"/>
              </w:rPr>
              <w:t>180</w:t>
            </w:r>
          </w:p>
        </w:tc>
      </w:tr>
    </w:tbl>
    <w:p w:rsidR="00DA2F92" w:rsidRPr="00944D33" w:rsidRDefault="00DA2F92" w:rsidP="008D60BD">
      <w:pPr>
        <w:rPr>
          <w:rFonts w:asciiTheme="minorHAnsi" w:hAnsiTheme="minorHAnsi"/>
          <w:color w:val="auto"/>
          <w:lang w:val="hr-BA"/>
        </w:rPr>
      </w:pPr>
    </w:p>
    <w:p w:rsidR="001A1753" w:rsidRPr="00944D33" w:rsidRDefault="001A1753">
      <w:pPr>
        <w:spacing w:line="240" w:lineRule="auto"/>
        <w:rPr>
          <w:rFonts w:asciiTheme="minorHAnsi" w:hAnsiTheme="minorHAnsi"/>
          <w:b/>
          <w:bCs/>
          <w:color w:val="auto"/>
          <w:spacing w:val="0"/>
          <w:sz w:val="24"/>
          <w:szCs w:val="20"/>
          <w:lang w:val="hr-BA"/>
        </w:rPr>
      </w:pPr>
      <w:bookmarkStart w:id="102" w:name="_Toc442208270"/>
      <w:bookmarkStart w:id="103" w:name="_Toc442208319"/>
      <w:bookmarkStart w:id="104" w:name="_Toc442215020"/>
      <w:r w:rsidRPr="00944D33">
        <w:rPr>
          <w:rFonts w:asciiTheme="minorHAnsi" w:hAnsiTheme="minorHAnsi"/>
          <w:color w:val="auto"/>
          <w:sz w:val="24"/>
          <w:lang w:val="hr-BA"/>
        </w:rPr>
        <w:br w:type="page"/>
      </w:r>
    </w:p>
    <w:p w:rsidR="009238E9" w:rsidRPr="00944D33" w:rsidRDefault="00DA2F92" w:rsidP="00B50865">
      <w:pPr>
        <w:pStyle w:val="Heading3"/>
      </w:pPr>
      <w:r w:rsidRPr="00944D33">
        <w:t xml:space="preserve">Ciljani rezultat 2.2.: </w:t>
      </w:r>
      <w:r w:rsidR="00902EB6" w:rsidRPr="00944D33">
        <w:t xml:space="preserve">Povećati omjer osuđujućih presuda u odnosu na </w:t>
      </w:r>
      <w:bookmarkEnd w:id="102"/>
      <w:bookmarkEnd w:id="103"/>
      <w:bookmarkEnd w:id="104"/>
      <w:r w:rsidR="00590580">
        <w:t>ukupan broj presuda</w:t>
      </w:r>
    </w:p>
    <w:p w:rsidR="00B50865" w:rsidRPr="00944D33" w:rsidRDefault="00B50865" w:rsidP="00B50865">
      <w:pPr>
        <w:rPr>
          <w:rFonts w:asciiTheme="minorHAnsi" w:hAnsiTheme="minorHAnsi"/>
          <w:lang w:val="hr-BA"/>
        </w:rPr>
      </w:pPr>
    </w:p>
    <w:p w:rsidR="004F770D" w:rsidRPr="00944D33" w:rsidRDefault="00295378" w:rsidP="00295378">
      <w:pPr>
        <w:pStyle w:val="ColorfulList-Accent11"/>
        <w:ind w:left="0"/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Trogodišnji o</w:t>
      </w:r>
      <w:r w:rsidR="004C2C40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mjer osuđujućih presuda u odnosu na </w:t>
      </w:r>
      <w:r w:rsidR="0059058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ukupan </w:t>
      </w:r>
      <w:r w:rsidR="004C2C40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broj </w:t>
      </w:r>
      <w:r w:rsidR="0059058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presuda je i u 2018. godini bio visok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. </w:t>
      </w:r>
      <w:r w:rsidR="00B4071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Imajući to u vidu, za period </w:t>
      </w:r>
      <w:r w:rsidR="0059058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2019 – 2021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59058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godina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planirana dinamika realizacije ciljanog rezultata će biti: </w:t>
      </w:r>
    </w:p>
    <w:p w:rsidR="0004309B" w:rsidRPr="00944D33" w:rsidRDefault="0004309B" w:rsidP="0004309B">
      <w:pPr>
        <w:ind w:left="360"/>
        <w:rPr>
          <w:rFonts w:asciiTheme="minorHAnsi" w:hAnsiTheme="minorHAnsi"/>
          <w:color w:val="auto"/>
          <w:lang w:val="hr-BA"/>
        </w:rPr>
      </w:pPr>
    </w:p>
    <w:p w:rsidR="0004309B" w:rsidRPr="00944D33" w:rsidRDefault="009238E9" w:rsidP="0004309B">
      <w:pPr>
        <w:numPr>
          <w:ilvl w:val="0"/>
          <w:numId w:val="13"/>
        </w:numPr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Opć</w:t>
      </w:r>
      <w:r w:rsidR="0004309B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i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</w:t>
      </w:r>
      <w:r w:rsidR="0004309B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kriminal</w:t>
      </w:r>
    </w:p>
    <w:tbl>
      <w:tblPr>
        <w:tblW w:w="0" w:type="auto"/>
        <w:tblBorders>
          <w:top w:val="single" w:sz="8" w:space="0" w:color="A88AB1"/>
          <w:left w:val="single" w:sz="8" w:space="0" w:color="A88AB1"/>
          <w:bottom w:val="single" w:sz="8" w:space="0" w:color="A88AB1"/>
          <w:right w:val="single" w:sz="8" w:space="0" w:color="A88AB1"/>
          <w:insideH w:val="single" w:sz="8" w:space="0" w:color="A88AB1"/>
          <w:insideV w:val="single" w:sz="8" w:space="0" w:color="A88AB1"/>
        </w:tblBorders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295378" w:rsidRPr="00944D33" w:rsidTr="00871B17">
        <w:tc>
          <w:tcPr>
            <w:tcW w:w="3432" w:type="dxa"/>
            <w:shd w:val="clear" w:color="auto" w:fill="E2D8E5"/>
          </w:tcPr>
          <w:p w:rsidR="004D63E4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2019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2020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2021</w:t>
            </w:r>
          </w:p>
        </w:tc>
      </w:tr>
      <w:tr w:rsidR="00590580" w:rsidRPr="00944D33" w:rsidTr="001A1753">
        <w:tc>
          <w:tcPr>
            <w:tcW w:w="3432" w:type="dxa"/>
            <w:shd w:val="clear" w:color="auto" w:fill="auto"/>
          </w:tcPr>
          <w:p w:rsidR="00590580" w:rsidRPr="00944D33" w:rsidRDefault="00590580" w:rsidP="004D63E4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U predmetima općeg kriminala osigurati da učešće os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uđujućih presuda isti kao omjer zabilježen u 2018 godini</w:t>
            </w:r>
          </w:p>
        </w:tc>
        <w:tc>
          <w:tcPr>
            <w:tcW w:w="3432" w:type="dxa"/>
            <w:shd w:val="clear" w:color="auto" w:fill="auto"/>
          </w:tcPr>
          <w:p w:rsidR="00590580" w:rsidRPr="00944D33" w:rsidRDefault="00590580" w:rsidP="00871B17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U predmetima općeg kriminala osigurati da učešće osuđujućih presuda bude iznad 95% u odnosu na ukupan broj presuda</w:t>
            </w:r>
          </w:p>
        </w:tc>
        <w:tc>
          <w:tcPr>
            <w:tcW w:w="3432" w:type="dxa"/>
            <w:shd w:val="clear" w:color="auto" w:fill="auto"/>
          </w:tcPr>
          <w:p w:rsidR="00590580" w:rsidRPr="00944D33" w:rsidRDefault="00590580" w:rsidP="004D63E4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U predmetima općeg kriminala osigurati da učešće osuđujućih presuda bude iznad 95% u odnosu na ukupan broj presuda</w:t>
            </w:r>
          </w:p>
        </w:tc>
      </w:tr>
    </w:tbl>
    <w:p w:rsidR="00E23A04" w:rsidRPr="00944D33" w:rsidRDefault="0004309B" w:rsidP="00E23A04">
      <w:pPr>
        <w:numPr>
          <w:ilvl w:val="0"/>
          <w:numId w:val="13"/>
        </w:numPr>
        <w:rPr>
          <w:rFonts w:asciiTheme="minorHAnsi" w:hAnsiTheme="minorHAnsi"/>
          <w:color w:val="auto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Privredni kriminal</w:t>
      </w:r>
    </w:p>
    <w:tbl>
      <w:tblPr>
        <w:tblW w:w="0" w:type="auto"/>
        <w:tblBorders>
          <w:top w:val="single" w:sz="8" w:space="0" w:color="A88AB1"/>
          <w:left w:val="single" w:sz="8" w:space="0" w:color="A88AB1"/>
          <w:bottom w:val="single" w:sz="8" w:space="0" w:color="A88AB1"/>
          <w:right w:val="single" w:sz="8" w:space="0" w:color="A88AB1"/>
          <w:insideH w:val="single" w:sz="8" w:space="0" w:color="A88AB1"/>
          <w:insideV w:val="single" w:sz="8" w:space="0" w:color="A88AB1"/>
        </w:tblBorders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295378" w:rsidRPr="00944D33" w:rsidTr="00E23A04">
        <w:tc>
          <w:tcPr>
            <w:tcW w:w="3432" w:type="dxa"/>
            <w:tcBorders>
              <w:top w:val="single" w:sz="8" w:space="0" w:color="A88AB1"/>
              <w:left w:val="single" w:sz="8" w:space="0" w:color="A88AB1"/>
              <w:bottom w:val="single" w:sz="8" w:space="0" w:color="A88AB1"/>
              <w:right w:val="single" w:sz="8" w:space="0" w:color="A88AB1"/>
            </w:tcBorders>
            <w:shd w:val="clear" w:color="auto" w:fill="C5B1CB"/>
          </w:tcPr>
          <w:p w:rsidR="004D63E4" w:rsidRPr="00944D33" w:rsidRDefault="004D63E4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b/>
                <w:bCs/>
                <w:color w:val="auto"/>
                <w:lang w:val="hr-BA"/>
              </w:rPr>
              <w:t>2018</w:t>
            </w:r>
          </w:p>
        </w:tc>
        <w:tc>
          <w:tcPr>
            <w:tcW w:w="3432" w:type="dxa"/>
            <w:tcBorders>
              <w:top w:val="single" w:sz="8" w:space="0" w:color="A88AB1"/>
              <w:left w:val="single" w:sz="8" w:space="0" w:color="A88AB1"/>
              <w:bottom w:val="single" w:sz="8" w:space="0" w:color="A88AB1"/>
              <w:right w:val="single" w:sz="8" w:space="0" w:color="A88AB1"/>
            </w:tcBorders>
            <w:shd w:val="clear" w:color="auto" w:fill="C5B1CB"/>
          </w:tcPr>
          <w:p w:rsidR="004D63E4" w:rsidRPr="00944D33" w:rsidRDefault="004D63E4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b/>
                <w:bCs/>
                <w:color w:val="auto"/>
                <w:lang w:val="hr-BA"/>
              </w:rPr>
              <w:t>2019</w:t>
            </w:r>
          </w:p>
        </w:tc>
        <w:tc>
          <w:tcPr>
            <w:tcW w:w="3432" w:type="dxa"/>
            <w:tcBorders>
              <w:top w:val="single" w:sz="8" w:space="0" w:color="A88AB1"/>
              <w:left w:val="single" w:sz="8" w:space="0" w:color="A88AB1"/>
              <w:bottom w:val="single" w:sz="8" w:space="0" w:color="A88AB1"/>
              <w:right w:val="single" w:sz="8" w:space="0" w:color="A88AB1"/>
            </w:tcBorders>
            <w:shd w:val="clear" w:color="auto" w:fill="C5B1CB"/>
          </w:tcPr>
          <w:p w:rsidR="004D63E4" w:rsidRPr="00944D33" w:rsidRDefault="004D63E4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b/>
                <w:bCs/>
                <w:color w:val="auto"/>
                <w:lang w:val="hr-BA"/>
              </w:rPr>
              <w:t>2020</w:t>
            </w:r>
          </w:p>
        </w:tc>
      </w:tr>
      <w:tr w:rsidR="00590580" w:rsidRPr="004A7F54" w:rsidTr="001A1753">
        <w:tc>
          <w:tcPr>
            <w:tcW w:w="3432" w:type="dxa"/>
            <w:shd w:val="clear" w:color="auto" w:fill="auto"/>
          </w:tcPr>
          <w:p w:rsidR="00590580" w:rsidRPr="00944D33" w:rsidRDefault="00590580" w:rsidP="001A175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U predmetima privrednog kriminala  (KTPO) osigurati da učešće 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osuđujućih presuda bude iznad 80</w:t>
            </w: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% u odnosu na ukupan broj presuda</w:t>
            </w:r>
          </w:p>
        </w:tc>
        <w:tc>
          <w:tcPr>
            <w:tcW w:w="3432" w:type="dxa"/>
            <w:shd w:val="clear" w:color="auto" w:fill="auto"/>
          </w:tcPr>
          <w:p w:rsidR="00590580" w:rsidRPr="00944D33" w:rsidRDefault="00590580" w:rsidP="001A175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U predmetima privrednog kriminala  (KTPO) osigurati da učešće 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osuđujućih presuda bude iznad 80</w:t>
            </w: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% u odnosu na ukupan broj presuda</w:t>
            </w:r>
          </w:p>
        </w:tc>
        <w:tc>
          <w:tcPr>
            <w:tcW w:w="3432" w:type="dxa"/>
            <w:shd w:val="clear" w:color="auto" w:fill="auto"/>
          </w:tcPr>
          <w:p w:rsidR="00590580" w:rsidRPr="00944D33" w:rsidRDefault="00590580" w:rsidP="001A175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U predmetima privrednog kriminala  (KTPO) osigurati da učešće 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osuđujućih presuda bude iznad 80</w:t>
            </w: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% u odnosu na ukupan broj presuda</w:t>
            </w:r>
          </w:p>
        </w:tc>
      </w:tr>
    </w:tbl>
    <w:p w:rsidR="0004309B" w:rsidRPr="00944D33" w:rsidRDefault="0004309B" w:rsidP="0004309B">
      <w:pPr>
        <w:numPr>
          <w:ilvl w:val="0"/>
          <w:numId w:val="13"/>
        </w:numPr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Korupcija</w:t>
      </w:r>
    </w:p>
    <w:tbl>
      <w:tblPr>
        <w:tblW w:w="0" w:type="auto"/>
        <w:tblBorders>
          <w:top w:val="single" w:sz="8" w:space="0" w:color="A88AB1"/>
          <w:left w:val="single" w:sz="8" w:space="0" w:color="A88AB1"/>
          <w:bottom w:val="single" w:sz="8" w:space="0" w:color="A88AB1"/>
          <w:right w:val="single" w:sz="8" w:space="0" w:color="A88AB1"/>
          <w:insideH w:val="single" w:sz="8" w:space="0" w:color="A88AB1"/>
          <w:insideV w:val="single" w:sz="8" w:space="0" w:color="A88AB1"/>
        </w:tblBorders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295378" w:rsidRPr="00944D33" w:rsidTr="00871B17">
        <w:tc>
          <w:tcPr>
            <w:tcW w:w="3432" w:type="dxa"/>
            <w:shd w:val="clear" w:color="auto" w:fill="E2D8E5"/>
          </w:tcPr>
          <w:p w:rsidR="004D63E4" w:rsidRPr="00944D33" w:rsidRDefault="004D63E4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b/>
                <w:bCs/>
                <w:color w:val="auto"/>
                <w:lang w:val="hr-BA"/>
              </w:rPr>
              <w:t>2018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4D63E4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b/>
                <w:bCs/>
                <w:color w:val="auto"/>
                <w:lang w:val="hr-BA"/>
              </w:rPr>
              <w:t>2019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4D63E4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 w:rsidRPr="00944D33">
              <w:rPr>
                <w:rFonts w:asciiTheme="minorHAnsi" w:hAnsiTheme="minorHAnsi"/>
                <w:b/>
                <w:bCs/>
                <w:color w:val="auto"/>
                <w:lang w:val="hr-BA"/>
              </w:rPr>
              <w:t>2020</w:t>
            </w:r>
          </w:p>
        </w:tc>
      </w:tr>
      <w:tr w:rsidR="00590580" w:rsidRPr="004A7F54" w:rsidTr="001A1753">
        <w:tc>
          <w:tcPr>
            <w:tcW w:w="3432" w:type="dxa"/>
            <w:shd w:val="clear" w:color="auto" w:fill="auto"/>
          </w:tcPr>
          <w:p w:rsidR="00590580" w:rsidRPr="00944D33" w:rsidRDefault="00590580" w:rsidP="001A175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U predmetima korupcije (KTK) osigurati da učešće 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osuđujućih presuda bude iznad 80</w:t>
            </w: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% u odnosu na ukupan broj presuda</w:t>
            </w:r>
          </w:p>
        </w:tc>
        <w:tc>
          <w:tcPr>
            <w:tcW w:w="3432" w:type="dxa"/>
            <w:shd w:val="clear" w:color="auto" w:fill="auto"/>
          </w:tcPr>
          <w:p w:rsidR="00590580" w:rsidRPr="00944D33" w:rsidRDefault="00590580" w:rsidP="001A175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U predmetima korupcije (KTK) osigurati da učešće 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osuđujućih presuda bude iznad 80</w:t>
            </w: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% u odnosu na ukupan broj presuda</w:t>
            </w:r>
          </w:p>
        </w:tc>
        <w:tc>
          <w:tcPr>
            <w:tcW w:w="3432" w:type="dxa"/>
            <w:shd w:val="clear" w:color="auto" w:fill="auto"/>
          </w:tcPr>
          <w:p w:rsidR="00590580" w:rsidRPr="00944D33" w:rsidRDefault="00590580" w:rsidP="001A175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U predmetima korupcije (KTK) osigurati da učešće 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osuđujućih presuda bude iznad 80</w:t>
            </w:r>
            <w:r w:rsidRPr="00590580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% u odnosu na ukupan broj presuda</w:t>
            </w:r>
          </w:p>
        </w:tc>
      </w:tr>
    </w:tbl>
    <w:p w:rsidR="001A1753" w:rsidRPr="00944D33" w:rsidRDefault="001A1753" w:rsidP="001A1753">
      <w:pPr>
        <w:rPr>
          <w:rFonts w:asciiTheme="minorHAnsi" w:hAnsiTheme="minorHAnsi"/>
          <w:spacing w:val="0"/>
          <w:lang w:val="hr-BA"/>
        </w:rPr>
      </w:pPr>
      <w:bookmarkStart w:id="105" w:name="_Toc442208271"/>
      <w:bookmarkStart w:id="106" w:name="_Toc442208320"/>
      <w:bookmarkStart w:id="107" w:name="_Toc442215021"/>
      <w:r w:rsidRPr="00944D33">
        <w:rPr>
          <w:rFonts w:asciiTheme="minorHAnsi" w:hAnsiTheme="minorHAnsi"/>
          <w:lang w:val="hr-BA"/>
        </w:rPr>
        <w:br w:type="page"/>
      </w:r>
    </w:p>
    <w:p w:rsidR="005E3B34" w:rsidRPr="00944D33" w:rsidRDefault="00E23A04" w:rsidP="00B50865">
      <w:pPr>
        <w:pStyle w:val="Heading3"/>
      </w:pPr>
      <w:r w:rsidRPr="00944D33">
        <w:t>Ciljani rezultat 2.</w:t>
      </w:r>
      <w:r w:rsidR="00C90F9C" w:rsidRPr="00944D33">
        <w:t>3</w:t>
      </w:r>
      <w:r w:rsidR="00902EB6" w:rsidRPr="00944D33">
        <w:t xml:space="preserve">.: Smanjiti omjer uvaženih </w:t>
      </w:r>
      <w:r w:rsidR="00902EB6" w:rsidRPr="00944D33">
        <w:rPr>
          <w:rFonts w:cs="Times"/>
        </w:rPr>
        <w:t>pritužbi</w:t>
      </w:r>
      <w:r w:rsidR="00902EB6" w:rsidRPr="00944D33">
        <w:t xml:space="preserve"> u odn</w:t>
      </w:r>
      <w:r w:rsidR="009A02AC" w:rsidRPr="00944D33">
        <w:t xml:space="preserve">osu na broj uloženih pritužbi na </w:t>
      </w:r>
      <w:bookmarkEnd w:id="105"/>
      <w:bookmarkEnd w:id="106"/>
      <w:bookmarkEnd w:id="107"/>
      <w:r w:rsidR="00633DCE" w:rsidRPr="00944D33">
        <w:t>odluke o nesprovođenju i o obustavi istraga</w:t>
      </w:r>
    </w:p>
    <w:p w:rsidR="009238E9" w:rsidRPr="00944D33" w:rsidRDefault="009238E9" w:rsidP="009238E9">
      <w:pPr>
        <w:spacing w:line="240" w:lineRule="auto"/>
        <w:rPr>
          <w:rFonts w:asciiTheme="minorHAnsi" w:hAnsiTheme="minorHAnsi"/>
          <w:b/>
          <w:bCs/>
          <w:color w:val="auto"/>
          <w:spacing w:val="0"/>
          <w:szCs w:val="20"/>
          <w:lang w:val="hr-BA"/>
        </w:rPr>
      </w:pPr>
    </w:p>
    <w:p w:rsidR="00767617" w:rsidRPr="00944D33" w:rsidRDefault="00767617" w:rsidP="00295378">
      <w:pPr>
        <w:pStyle w:val="ColorfulList-Accent11"/>
        <w:ind w:left="0"/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Omjer 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uvaženih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pritužbi u odnosu na broj uloženih pritužbi na odluke 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o nesprovođenju i obustavi istraga 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bi trebao biti sveden na najmanju moguću mjeru kako bi se kontinuirao povećavala efikasnost i povjerenje javnosti u tužilački sistem. 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S toga, planirana d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inamika realizacije ovog ciljanog rezultata </w:t>
      </w:r>
      <w:r w:rsidR="00295378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za period 20</w:t>
      </w:r>
      <w:r w:rsidR="0059058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19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.- 20</w:t>
      </w:r>
      <w:r w:rsidR="0059058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21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će biti: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</w:t>
      </w:r>
    </w:p>
    <w:p w:rsidR="00B11B13" w:rsidRPr="00944D33" w:rsidRDefault="00B11B13" w:rsidP="00B11B13">
      <w:pPr>
        <w:pStyle w:val="ColorfulList-Accent11"/>
        <w:ind w:left="360"/>
        <w:rPr>
          <w:rFonts w:asciiTheme="minorHAnsi" w:hAnsiTheme="minorHAnsi"/>
          <w:color w:val="auto"/>
          <w:lang w:val="hr-BA"/>
        </w:rPr>
      </w:pPr>
    </w:p>
    <w:tbl>
      <w:tblPr>
        <w:tblW w:w="0" w:type="auto"/>
        <w:tblBorders>
          <w:top w:val="single" w:sz="8" w:space="0" w:color="A88AB1"/>
          <w:left w:val="single" w:sz="8" w:space="0" w:color="A88AB1"/>
          <w:bottom w:val="single" w:sz="8" w:space="0" w:color="A88AB1"/>
          <w:right w:val="single" w:sz="8" w:space="0" w:color="A88AB1"/>
          <w:insideH w:val="single" w:sz="8" w:space="0" w:color="A88AB1"/>
          <w:insideV w:val="single" w:sz="8" w:space="0" w:color="A88AB1"/>
        </w:tblBorders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295378" w:rsidRPr="00944D33" w:rsidTr="00871B17">
        <w:tc>
          <w:tcPr>
            <w:tcW w:w="3432" w:type="dxa"/>
            <w:shd w:val="clear" w:color="auto" w:fill="E2D8E5"/>
          </w:tcPr>
          <w:p w:rsidR="004D63E4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2019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2020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2021</w:t>
            </w:r>
          </w:p>
        </w:tc>
      </w:tr>
      <w:tr w:rsidR="00295378" w:rsidRPr="004A7F54" w:rsidTr="001A1753">
        <w:tc>
          <w:tcPr>
            <w:tcW w:w="3432" w:type="dxa"/>
            <w:shd w:val="clear" w:color="auto" w:fill="auto"/>
          </w:tcPr>
          <w:p w:rsidR="00956113" w:rsidRPr="00944D33" w:rsidRDefault="00956113" w:rsidP="0095611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 Omjer usvojenih pritužbi ne prelazi omjer od 10% u odnosu na uložene pritužbe na odluke o nesprovođenju i o obustavi istraga</w:t>
            </w:r>
          </w:p>
        </w:tc>
        <w:tc>
          <w:tcPr>
            <w:tcW w:w="3432" w:type="dxa"/>
            <w:shd w:val="clear" w:color="auto" w:fill="auto"/>
          </w:tcPr>
          <w:p w:rsidR="00956113" w:rsidRPr="00944D33" w:rsidRDefault="00956113" w:rsidP="00871B17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Omjer usvojenih pritužbi ne prelazi omjer od 10% u odnosu na uložene pritužbe na odluke o nesprovođenju i o obustavi istraga</w:t>
            </w:r>
          </w:p>
        </w:tc>
        <w:tc>
          <w:tcPr>
            <w:tcW w:w="3432" w:type="dxa"/>
            <w:shd w:val="clear" w:color="auto" w:fill="auto"/>
          </w:tcPr>
          <w:p w:rsidR="00956113" w:rsidRPr="00944D33" w:rsidRDefault="00956113" w:rsidP="00871B17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Omjer usvojenih pritužbi ne prelazi omjer od 10% u odnosu na uložene pritužbe na odluke o nesprovođenju i o obustavi istraga</w:t>
            </w:r>
          </w:p>
        </w:tc>
      </w:tr>
    </w:tbl>
    <w:p w:rsidR="00902EB6" w:rsidRPr="00944D33" w:rsidRDefault="00902EB6" w:rsidP="00902EB6">
      <w:pPr>
        <w:rPr>
          <w:rFonts w:asciiTheme="minorHAnsi" w:hAnsiTheme="minorHAnsi"/>
          <w:color w:val="auto"/>
          <w:lang w:val="hr-BA"/>
        </w:rPr>
      </w:pPr>
    </w:p>
    <w:p w:rsidR="00902EB6" w:rsidRPr="00944D33" w:rsidRDefault="00E23A04" w:rsidP="00B50865">
      <w:pPr>
        <w:pStyle w:val="Heading3"/>
      </w:pPr>
      <w:bookmarkStart w:id="108" w:name="_Toc442208272"/>
      <w:bookmarkStart w:id="109" w:name="_Toc442208321"/>
      <w:bookmarkStart w:id="110" w:name="_Toc442215022"/>
      <w:r w:rsidRPr="00944D33">
        <w:t>Ciljani rezultat 2.</w:t>
      </w:r>
      <w:r w:rsidR="00956113" w:rsidRPr="00944D33">
        <w:t>4</w:t>
      </w:r>
      <w:r w:rsidR="00902EB6" w:rsidRPr="00944D33">
        <w:t xml:space="preserve">.: </w:t>
      </w:r>
      <w:r w:rsidR="00A25F69" w:rsidRPr="00944D33">
        <w:t>Smanjiti broj neriješenih prijava</w:t>
      </w:r>
      <w:bookmarkEnd w:id="108"/>
      <w:bookmarkEnd w:id="109"/>
      <w:bookmarkEnd w:id="110"/>
    </w:p>
    <w:p w:rsidR="00767617" w:rsidRPr="00944D33" w:rsidRDefault="00767617" w:rsidP="00295378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Veliki broj neriješenih prijava negativno utiče na efikasnost rada tužilačkog sistema Federacije BiH, te 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omjer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broj neriješenih prijava treba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, u dogledno vrijeme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da se 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smanji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u odnosu na ukupan priliv. </w:t>
      </w:r>
      <w:r w:rsidR="0059058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U 2018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 godini je došlo do smanjenja broja neriješenih prijava u odnosu na prethodnu godinu,. U skladu sa tim d</w:t>
      </w:r>
      <w:r w:rsidR="004F770D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inamika realizacije ovog cilj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nog rezultata za period </w:t>
      </w:r>
      <w:r w:rsidR="0059058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2019 – 2021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633DCE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će biti: </w:t>
      </w:r>
    </w:p>
    <w:p w:rsidR="0080275E" w:rsidRPr="00944D33" w:rsidRDefault="0080275E" w:rsidP="0080275E">
      <w:pPr>
        <w:rPr>
          <w:rFonts w:asciiTheme="minorHAnsi" w:hAnsiTheme="minorHAnsi"/>
          <w:color w:val="auto"/>
          <w:lang w:val="hr-BA"/>
        </w:rPr>
      </w:pPr>
    </w:p>
    <w:tbl>
      <w:tblPr>
        <w:tblW w:w="10395" w:type="dxa"/>
        <w:tblBorders>
          <w:top w:val="single" w:sz="8" w:space="0" w:color="A88AB1"/>
          <w:left w:val="single" w:sz="8" w:space="0" w:color="A88AB1"/>
          <w:bottom w:val="single" w:sz="8" w:space="0" w:color="A88AB1"/>
          <w:right w:val="single" w:sz="8" w:space="0" w:color="A88AB1"/>
          <w:insideH w:val="single" w:sz="8" w:space="0" w:color="A88AB1"/>
          <w:insideV w:val="single" w:sz="8" w:space="0" w:color="A88AB1"/>
        </w:tblBorders>
        <w:tblLook w:val="04A0" w:firstRow="1" w:lastRow="0" w:firstColumn="1" w:lastColumn="0" w:noHBand="0" w:noVBand="1"/>
      </w:tblPr>
      <w:tblGrid>
        <w:gridCol w:w="3465"/>
        <w:gridCol w:w="3731"/>
        <w:gridCol w:w="3199"/>
      </w:tblGrid>
      <w:tr w:rsidR="00590580" w:rsidRPr="00944D33" w:rsidTr="00944D33">
        <w:trPr>
          <w:trHeight w:val="217"/>
        </w:trPr>
        <w:tc>
          <w:tcPr>
            <w:tcW w:w="3465" w:type="dxa"/>
            <w:shd w:val="clear" w:color="auto" w:fill="E2D8E5"/>
          </w:tcPr>
          <w:p w:rsidR="00590580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2019</w:t>
            </w:r>
          </w:p>
        </w:tc>
        <w:tc>
          <w:tcPr>
            <w:tcW w:w="3731" w:type="dxa"/>
            <w:shd w:val="clear" w:color="auto" w:fill="E2D8E5"/>
          </w:tcPr>
          <w:p w:rsidR="00590580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2020</w:t>
            </w:r>
          </w:p>
        </w:tc>
        <w:tc>
          <w:tcPr>
            <w:tcW w:w="3199" w:type="dxa"/>
            <w:shd w:val="clear" w:color="auto" w:fill="E2D8E5"/>
          </w:tcPr>
          <w:p w:rsidR="00590580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2021</w:t>
            </w:r>
          </w:p>
        </w:tc>
      </w:tr>
      <w:tr w:rsidR="00295378" w:rsidRPr="004A7F54" w:rsidTr="00944D33">
        <w:trPr>
          <w:trHeight w:val="1889"/>
        </w:trPr>
        <w:tc>
          <w:tcPr>
            <w:tcW w:w="3465" w:type="dxa"/>
            <w:shd w:val="clear" w:color="auto" w:fill="auto"/>
          </w:tcPr>
          <w:p w:rsidR="00956113" w:rsidRPr="00944D33" w:rsidRDefault="00590580" w:rsidP="004127F7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Za 2019</w:t>
            </w:r>
            <w:r w:rsidR="00295378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. godinu smanjit</w:t>
            </w:r>
            <w:r w:rsidR="004A7F54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i broj neriješenih prijava za 10</w:t>
            </w:r>
            <w:r w:rsidR="00295378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% u odno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su na broj zabilježen 31.12.2018</w:t>
            </w:r>
            <w:r w:rsidR="00295378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 godine za cjelokupni tužilački sistem u Federaciji BiH</w:t>
            </w:r>
          </w:p>
        </w:tc>
        <w:tc>
          <w:tcPr>
            <w:tcW w:w="3731" w:type="dxa"/>
            <w:shd w:val="clear" w:color="auto" w:fill="auto"/>
          </w:tcPr>
          <w:p w:rsidR="00956113" w:rsidRPr="00944D33" w:rsidRDefault="00590580" w:rsidP="004127F7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Za 2020</w:t>
            </w:r>
            <w:r w:rsidR="00295378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. godinu smanjit</w:t>
            </w:r>
            <w:r w:rsidR="004A7F54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i broj neriješenih prijava za 10</w:t>
            </w:r>
            <w:r w:rsidR="00295378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% u odno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su na broj zabilježen 31.12.2019</w:t>
            </w:r>
            <w:r w:rsidR="00295378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. godine za cjelokupni tužilački sistem u Federaciji BiH</w:t>
            </w:r>
          </w:p>
        </w:tc>
        <w:tc>
          <w:tcPr>
            <w:tcW w:w="3199" w:type="dxa"/>
            <w:shd w:val="clear" w:color="auto" w:fill="auto"/>
          </w:tcPr>
          <w:p w:rsidR="00295378" w:rsidRPr="00944D33" w:rsidRDefault="00590580" w:rsidP="00295378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Za 2021</w:t>
            </w:r>
            <w:r w:rsidR="00295378" w:rsidRPr="00944D33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. godinu osigurati da omjer neriješenih prijava na kraju godine ne prelazi 10% od ukupnog broja prijava u radu za tu godinu</w:t>
            </w:r>
          </w:p>
          <w:p w:rsidR="00956113" w:rsidRPr="00944D33" w:rsidRDefault="00956113" w:rsidP="004F770D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</w:p>
        </w:tc>
      </w:tr>
    </w:tbl>
    <w:p w:rsidR="00944D33" w:rsidRDefault="00944D33" w:rsidP="00B50865">
      <w:pPr>
        <w:pStyle w:val="Heading3"/>
      </w:pPr>
      <w:bookmarkStart w:id="111" w:name="_Toc442208273"/>
      <w:bookmarkStart w:id="112" w:name="_Toc442208322"/>
      <w:bookmarkStart w:id="113" w:name="_Toc442215023"/>
    </w:p>
    <w:p w:rsidR="005E3B34" w:rsidRPr="00944D33" w:rsidRDefault="00E23A04" w:rsidP="00B50865">
      <w:pPr>
        <w:pStyle w:val="Heading3"/>
      </w:pPr>
      <w:r w:rsidRPr="00944D33">
        <w:t>Ciljani rezultat 2.</w:t>
      </w:r>
      <w:r w:rsidR="00956113" w:rsidRPr="00944D33">
        <w:t>5</w:t>
      </w:r>
      <w:r w:rsidR="0080275E" w:rsidRPr="00944D33">
        <w:t xml:space="preserve">.: </w:t>
      </w:r>
      <w:r w:rsidR="00A25F69" w:rsidRPr="00944D33">
        <w:t>Smanjiti b</w:t>
      </w:r>
      <w:r w:rsidR="0078769D" w:rsidRPr="00944D33">
        <w:t>roj</w:t>
      </w:r>
      <w:r w:rsidR="00A25F69" w:rsidRPr="00944D33">
        <w:t xml:space="preserve"> neriješenih istraga</w:t>
      </w:r>
      <w:bookmarkEnd w:id="111"/>
      <w:bookmarkEnd w:id="112"/>
      <w:bookmarkEnd w:id="113"/>
    </w:p>
    <w:p w:rsidR="0080275E" w:rsidRPr="00944D33" w:rsidRDefault="00767617" w:rsidP="00944D33">
      <w:pPr>
        <w:jc w:val="both"/>
        <w:rPr>
          <w:rFonts w:asciiTheme="minorHAnsi" w:hAnsiTheme="minorHAnsi"/>
          <w:color w:val="auto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Broj neriješenih istraga treba se kontinuirano smanjivati </w:t>
      </w:r>
      <w:r w:rsidR="00034CB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i, kao i kod prijava, omjer neriješenih istraga u odnosu na ukupan broj naređenih istraga u jednoj godini ne bi trebalo da bude više od 10%. U 201</w:t>
      </w:r>
      <w:r w:rsidR="00867F71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8</w:t>
      </w:r>
      <w:r w:rsidR="00034CB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. je došlo do </w:t>
      </w:r>
      <w:r w:rsidR="00295378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smanjenje </w:t>
      </w:r>
      <w:r w:rsidR="00826524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broja neriješenih istraga u odnosu na 201</w:t>
      </w:r>
      <w:r w:rsidR="00295378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6</w:t>
      </w:r>
      <w:r w:rsidR="00826524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1A1753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g</w:t>
      </w:r>
      <w:r w:rsidR="00826524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odinu</w:t>
      </w:r>
      <w:r w:rsidR="00295378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. </w:t>
      </w:r>
      <w:r w:rsidR="004F770D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Dinamika realizacije ovog cilja </w:t>
      </w:r>
      <w:r w:rsidR="00826524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za period </w:t>
      </w:r>
      <w:r w:rsidR="00867F71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2019 – 2021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  <w:r w:rsidR="00826524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će biti: </w:t>
      </w:r>
    </w:p>
    <w:tbl>
      <w:tblPr>
        <w:tblW w:w="0" w:type="auto"/>
        <w:tblBorders>
          <w:top w:val="single" w:sz="8" w:space="0" w:color="A88AB1"/>
          <w:left w:val="single" w:sz="8" w:space="0" w:color="A88AB1"/>
          <w:bottom w:val="single" w:sz="8" w:space="0" w:color="A88AB1"/>
          <w:right w:val="single" w:sz="8" w:space="0" w:color="A88AB1"/>
          <w:insideH w:val="single" w:sz="8" w:space="0" w:color="A88AB1"/>
          <w:insideV w:val="single" w:sz="8" w:space="0" w:color="A88AB1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2"/>
      </w:tblGrid>
      <w:tr w:rsidR="00590580" w:rsidRPr="00944D33" w:rsidTr="00A25F69">
        <w:tc>
          <w:tcPr>
            <w:tcW w:w="3432" w:type="dxa"/>
            <w:shd w:val="clear" w:color="auto" w:fill="E2D8E5"/>
          </w:tcPr>
          <w:p w:rsidR="00590580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2019</w:t>
            </w:r>
          </w:p>
        </w:tc>
        <w:tc>
          <w:tcPr>
            <w:tcW w:w="3432" w:type="dxa"/>
            <w:shd w:val="clear" w:color="auto" w:fill="E2D8E5"/>
          </w:tcPr>
          <w:p w:rsidR="00590580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2020</w:t>
            </w:r>
          </w:p>
        </w:tc>
        <w:tc>
          <w:tcPr>
            <w:tcW w:w="3432" w:type="dxa"/>
            <w:shd w:val="clear" w:color="auto" w:fill="E2D8E5"/>
          </w:tcPr>
          <w:p w:rsidR="00590580" w:rsidRPr="00944D33" w:rsidRDefault="0059058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2021</w:t>
            </w:r>
          </w:p>
        </w:tc>
      </w:tr>
      <w:tr w:rsidR="00590580" w:rsidRPr="00944D33" w:rsidTr="004127F7">
        <w:trPr>
          <w:trHeight w:val="1734"/>
        </w:trPr>
        <w:tc>
          <w:tcPr>
            <w:tcW w:w="3432" w:type="dxa"/>
            <w:shd w:val="clear" w:color="auto" w:fill="auto"/>
          </w:tcPr>
          <w:p w:rsidR="00590580" w:rsidRPr="00867F71" w:rsidRDefault="00867F71" w:rsidP="00295378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Za 2019</w:t>
            </w:r>
            <w:r w:rsidR="00590580" w:rsidRPr="00867F71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. godinu smanjiti broj neriješenih istraga za 5% u odno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su na broj zabilježen 31.12.2018</w:t>
            </w:r>
            <w:r w:rsidR="00590580" w:rsidRPr="00867F71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. godine za cjelokupni tužilački sistem u Federaciji</w:t>
            </w:r>
          </w:p>
        </w:tc>
        <w:tc>
          <w:tcPr>
            <w:tcW w:w="3432" w:type="dxa"/>
            <w:shd w:val="clear" w:color="auto" w:fill="auto"/>
          </w:tcPr>
          <w:p w:rsidR="00590580" w:rsidRPr="00867F71" w:rsidRDefault="00867F71" w:rsidP="004127F7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Za 2020</w:t>
            </w:r>
            <w:r w:rsidR="00590580" w:rsidRPr="00867F71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. godinu smanjit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i broj neriješenih istraga za 10</w:t>
            </w:r>
            <w:r w:rsidR="00590580" w:rsidRPr="00867F71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% u odno</w:t>
            </w: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su na broj zabilježen 31.12.2019</w:t>
            </w:r>
            <w:r w:rsidR="00590580" w:rsidRPr="00867F71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. godine za cjelokupni tužilački sistem u Federaciji BiH</w:t>
            </w:r>
          </w:p>
        </w:tc>
        <w:tc>
          <w:tcPr>
            <w:tcW w:w="3432" w:type="dxa"/>
            <w:shd w:val="clear" w:color="auto" w:fill="auto"/>
          </w:tcPr>
          <w:p w:rsidR="00590580" w:rsidRPr="00867F71" w:rsidRDefault="00867F71" w:rsidP="004127F7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Za 2021</w:t>
            </w:r>
            <w:r w:rsidR="00590580" w:rsidRPr="00867F71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. godinu osigurati da omjer neriješenih istraga na kraju godine ne prelazi 10% od ukupnog broja istraga u radu za tu godinu</w:t>
            </w:r>
          </w:p>
        </w:tc>
      </w:tr>
    </w:tbl>
    <w:p w:rsidR="00EA274B" w:rsidRDefault="00EA274B" w:rsidP="0006549E">
      <w:pPr>
        <w:pStyle w:val="Heading2"/>
        <w:rPr>
          <w:rFonts w:asciiTheme="minorHAnsi" w:hAnsiTheme="minorHAnsi"/>
          <w:color w:val="auto"/>
          <w:lang w:val="hr-BA"/>
        </w:rPr>
      </w:pPr>
      <w:bookmarkStart w:id="114" w:name="_Toc442208274"/>
      <w:bookmarkStart w:id="115" w:name="_Toc442208323"/>
      <w:bookmarkStart w:id="116" w:name="_Toc442215024"/>
      <w:bookmarkStart w:id="117" w:name="_Toc502136577"/>
    </w:p>
    <w:p w:rsidR="00DA2F92" w:rsidRPr="00944D33" w:rsidRDefault="00DA2F92" w:rsidP="0006549E">
      <w:pPr>
        <w:pStyle w:val="Heading2"/>
        <w:rPr>
          <w:rFonts w:asciiTheme="minorHAnsi" w:hAnsiTheme="minorHAnsi"/>
          <w:color w:val="auto"/>
          <w:lang w:val="hr-BA"/>
        </w:rPr>
      </w:pPr>
      <w:r w:rsidRPr="00944D33">
        <w:rPr>
          <w:rFonts w:asciiTheme="minorHAnsi" w:hAnsiTheme="minorHAnsi"/>
          <w:color w:val="auto"/>
          <w:lang w:val="hr-BA"/>
        </w:rPr>
        <w:t xml:space="preserve">Strateški cilj 3: </w:t>
      </w:r>
      <w:bookmarkEnd w:id="114"/>
      <w:bookmarkEnd w:id="115"/>
      <w:bookmarkEnd w:id="116"/>
      <w:bookmarkEnd w:id="117"/>
      <w:r w:rsidR="00867F71" w:rsidRPr="00867F71">
        <w:rPr>
          <w:rFonts w:asciiTheme="minorHAnsi" w:hAnsiTheme="minorHAnsi"/>
          <w:color w:val="auto"/>
          <w:lang w:val="hr-BA"/>
        </w:rPr>
        <w:t>Povećati kvantitet i kvalitet informacija u skladu sa planom praćenja i evaluacije PR u tužilaštvima</w:t>
      </w:r>
    </w:p>
    <w:p w:rsidR="00B50865" w:rsidRPr="00944D33" w:rsidRDefault="00B50865" w:rsidP="00B50865">
      <w:pPr>
        <w:pStyle w:val="Heading3"/>
      </w:pPr>
      <w:bookmarkStart w:id="118" w:name="_Toc442208275"/>
      <w:bookmarkStart w:id="119" w:name="_Toc442208324"/>
      <w:bookmarkStart w:id="120" w:name="_Toc442215025"/>
      <w:bookmarkStart w:id="121" w:name="_Toc442215105"/>
      <w:bookmarkStart w:id="122" w:name="_Toc344495187"/>
    </w:p>
    <w:p w:rsidR="00767617" w:rsidRPr="00944D33" w:rsidRDefault="00826524" w:rsidP="00B50865">
      <w:pPr>
        <w:pStyle w:val="Heading3"/>
      </w:pPr>
      <w:r w:rsidRPr="00944D33">
        <w:t>Za period</w:t>
      </w:r>
      <w:r w:rsidR="00767617" w:rsidRPr="00944D33">
        <w:t xml:space="preserve"> </w:t>
      </w:r>
      <w:r w:rsidR="00867F71">
        <w:t>2019 – 2021</w:t>
      </w:r>
      <w:r w:rsidR="005033F5" w:rsidRPr="00944D33">
        <w:t>.</w:t>
      </w:r>
      <w:r w:rsidRPr="00944D33">
        <w:t xml:space="preserve"> godina</w:t>
      </w:r>
      <w:r w:rsidR="00767617" w:rsidRPr="00944D33">
        <w:t xml:space="preserve"> </w:t>
      </w:r>
      <w:r w:rsidRPr="00944D33">
        <w:t xml:space="preserve">strateški cilj </w:t>
      </w:r>
      <w:r w:rsidR="00867F71">
        <w:t>3</w:t>
      </w:r>
      <w:r w:rsidR="00767617" w:rsidRPr="00944D33">
        <w:t xml:space="preserve"> </w:t>
      </w:r>
      <w:r w:rsidR="00867F71">
        <w:t>će biti realizovan</w:t>
      </w:r>
      <w:r w:rsidRPr="00944D33">
        <w:t xml:space="preserve"> </w:t>
      </w:r>
      <w:r w:rsidR="00767617" w:rsidRPr="00944D33">
        <w:t>kroz s</w:t>
      </w:r>
      <w:r w:rsidRPr="00944D33">
        <w:t>ljedeće ciljane rezultate</w:t>
      </w:r>
      <w:r w:rsidR="00767617" w:rsidRPr="00944D33">
        <w:t>:</w:t>
      </w:r>
      <w:bookmarkEnd w:id="118"/>
      <w:bookmarkEnd w:id="119"/>
      <w:bookmarkEnd w:id="120"/>
      <w:bookmarkEnd w:id="121"/>
      <w:bookmarkEnd w:id="122"/>
    </w:p>
    <w:p w:rsidR="00767617" w:rsidRPr="00944D33" w:rsidRDefault="00767617" w:rsidP="00767617">
      <w:pPr>
        <w:rPr>
          <w:rFonts w:asciiTheme="minorHAnsi" w:hAnsiTheme="minorHAnsi"/>
          <w:color w:val="auto"/>
          <w:lang w:val="hr-BA"/>
        </w:rPr>
      </w:pPr>
    </w:p>
    <w:p w:rsidR="00B264D0" w:rsidRPr="00B264D0" w:rsidRDefault="00B264D0" w:rsidP="00B264D0">
      <w:pPr>
        <w:numPr>
          <w:ilvl w:val="0"/>
          <w:numId w:val="30"/>
        </w:num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bookmarkStart w:id="123" w:name="_Toc442208277"/>
      <w:bookmarkStart w:id="124" w:name="_Toc442208326"/>
      <w:bookmarkStart w:id="125" w:name="_Toc442211708"/>
      <w:r w:rsidRPr="00B264D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Povećati kvalitet informacija u skladu sa planom praćenja</w:t>
      </w:r>
      <w:r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i evaluacije PR u tužilaštvima</w:t>
      </w:r>
      <w:bookmarkEnd w:id="123"/>
      <w:bookmarkEnd w:id="124"/>
      <w:bookmarkEnd w:id="125"/>
    </w:p>
    <w:p w:rsidR="005C0006" w:rsidRDefault="00B264D0" w:rsidP="00767617">
      <w:pPr>
        <w:numPr>
          <w:ilvl w:val="0"/>
          <w:numId w:val="30"/>
        </w:num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Povećati kvantitet</w:t>
      </w:r>
      <w:r w:rsidRPr="00B264D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informacija u skladu sa planom praćenja i evaluacije PR u tužilaštvima</w:t>
      </w:r>
    </w:p>
    <w:p w:rsidR="00B50865" w:rsidRPr="00944D33" w:rsidRDefault="00B50865" w:rsidP="00767617">
      <w:pPr>
        <w:rPr>
          <w:rFonts w:asciiTheme="minorHAnsi" w:hAnsiTheme="minorHAnsi"/>
          <w:color w:val="auto"/>
          <w:lang w:val="hr-BA"/>
        </w:rPr>
      </w:pPr>
    </w:p>
    <w:p w:rsidR="00767617" w:rsidRDefault="00767617" w:rsidP="00B264D0">
      <w:pPr>
        <w:pStyle w:val="Heading3"/>
      </w:pPr>
      <w:bookmarkStart w:id="126" w:name="_Toc442208278"/>
      <w:bookmarkStart w:id="127" w:name="_Toc442208327"/>
      <w:bookmarkStart w:id="128" w:name="_Toc442215026"/>
      <w:r w:rsidRPr="00944D33">
        <w:t xml:space="preserve">Ciljani rezultat 3.1.: </w:t>
      </w:r>
      <w:bookmarkEnd w:id="126"/>
      <w:bookmarkEnd w:id="127"/>
      <w:bookmarkEnd w:id="128"/>
      <w:r w:rsidR="00B264D0">
        <w:t xml:space="preserve"> </w:t>
      </w:r>
      <w:r w:rsidR="00B264D0" w:rsidRPr="00B264D0">
        <w:t>Povećati kvalitet informacija u skladu sa planom praćenja i evaluacije PR u tužilaštvima</w:t>
      </w:r>
    </w:p>
    <w:p w:rsidR="00B264D0" w:rsidRPr="00B264D0" w:rsidRDefault="00B264D0" w:rsidP="00B264D0">
      <w:pPr>
        <w:rPr>
          <w:lang w:val="hr-BA"/>
        </w:rPr>
      </w:pPr>
    </w:p>
    <w:p w:rsidR="00331DC4" w:rsidRPr="00B264D0" w:rsidRDefault="00767617" w:rsidP="00DA3CCE">
      <w:pPr>
        <w:numPr>
          <w:ilvl w:val="0"/>
          <w:numId w:val="28"/>
        </w:numPr>
        <w:jc w:val="both"/>
        <w:rPr>
          <w:rFonts w:asciiTheme="minorHAnsi" w:hAnsiTheme="minorHAnsi"/>
          <w:color w:val="auto"/>
          <w:lang w:val="hr-BA"/>
        </w:rPr>
      </w:pPr>
      <w:r w:rsidRPr="00B264D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Povjerenje građana i javnosti u rad tužilaštava i pravosuđa je na veoma niskom nivou, što je uzrokovano nizom različitih faktora kako vanjskih tako i unutrašnjih, s tim u vezi tužilaštva u F</w:t>
      </w:r>
      <w:r w:rsidR="005C0006" w:rsidRPr="00B264D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ederaciji</w:t>
      </w:r>
      <w:r w:rsidRPr="00B264D0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BiH će jačati svoju transparentnost i odnose sa javnošću kako bi se kontinuirano povećavalo povjerenje građana u njihov rad. </w:t>
      </w:r>
    </w:p>
    <w:p w:rsidR="00B264D0" w:rsidRPr="00B264D0" w:rsidRDefault="00B264D0" w:rsidP="00B264D0">
      <w:pPr>
        <w:ind w:left="720"/>
        <w:jc w:val="both"/>
        <w:rPr>
          <w:rFonts w:asciiTheme="minorHAnsi" w:hAnsiTheme="minorHAnsi"/>
          <w:color w:val="auto"/>
          <w:lang w:val="hr-BA"/>
        </w:rPr>
      </w:pPr>
    </w:p>
    <w:tbl>
      <w:tblPr>
        <w:tblW w:w="0" w:type="auto"/>
        <w:tblBorders>
          <w:top w:val="single" w:sz="8" w:space="0" w:color="A88AB1"/>
          <w:left w:val="single" w:sz="8" w:space="0" w:color="A88AB1"/>
          <w:bottom w:val="single" w:sz="8" w:space="0" w:color="A88AB1"/>
          <w:right w:val="single" w:sz="8" w:space="0" w:color="A88AB1"/>
          <w:insideH w:val="single" w:sz="8" w:space="0" w:color="A88AB1"/>
          <w:insideV w:val="single" w:sz="8" w:space="0" w:color="A88AB1"/>
        </w:tblBorders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295378" w:rsidRPr="00944D33" w:rsidTr="008B0233">
        <w:tc>
          <w:tcPr>
            <w:tcW w:w="3432" w:type="dxa"/>
            <w:shd w:val="clear" w:color="auto" w:fill="E2D8E5"/>
          </w:tcPr>
          <w:p w:rsidR="004D63E4" w:rsidRPr="00944D33" w:rsidRDefault="00B264D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2019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B264D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2020</w:t>
            </w:r>
          </w:p>
        </w:tc>
        <w:tc>
          <w:tcPr>
            <w:tcW w:w="3432" w:type="dxa"/>
            <w:shd w:val="clear" w:color="auto" w:fill="E2D8E5"/>
          </w:tcPr>
          <w:p w:rsidR="004D63E4" w:rsidRPr="00944D33" w:rsidRDefault="00B264D0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2021</w:t>
            </w:r>
          </w:p>
        </w:tc>
      </w:tr>
      <w:tr w:rsidR="00EA274B" w:rsidRPr="00944D33" w:rsidTr="001A1753">
        <w:tc>
          <w:tcPr>
            <w:tcW w:w="3432" w:type="dxa"/>
            <w:shd w:val="clear" w:color="auto" w:fill="auto"/>
          </w:tcPr>
          <w:p w:rsidR="00EA274B" w:rsidRPr="00EA274B" w:rsidRDefault="00EA274B" w:rsidP="008B023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EA274B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Povećati za 5% u odnosu na ocjenu datu u 2018. </w:t>
            </w:r>
          </w:p>
        </w:tc>
        <w:tc>
          <w:tcPr>
            <w:tcW w:w="3432" w:type="dxa"/>
            <w:shd w:val="clear" w:color="auto" w:fill="auto"/>
          </w:tcPr>
          <w:p w:rsidR="00EA274B" w:rsidRPr="00EA274B" w:rsidRDefault="00EA274B" w:rsidP="008B023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EA274B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Povećati za 5% u odnosu na ocjenu datu u 2019.</w:t>
            </w:r>
          </w:p>
        </w:tc>
        <w:tc>
          <w:tcPr>
            <w:tcW w:w="3432" w:type="dxa"/>
            <w:shd w:val="clear" w:color="auto" w:fill="auto"/>
          </w:tcPr>
          <w:p w:rsidR="00EA274B" w:rsidRPr="00EA274B" w:rsidRDefault="00EA274B" w:rsidP="008B023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EA274B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Povećati za 5% u odnosu na ocjenu datu u 2021.</w:t>
            </w:r>
          </w:p>
        </w:tc>
      </w:tr>
    </w:tbl>
    <w:p w:rsidR="0006549E" w:rsidRPr="00944D33" w:rsidRDefault="0006549E" w:rsidP="00DA3CCE">
      <w:pPr>
        <w:rPr>
          <w:rFonts w:asciiTheme="minorHAnsi" w:hAnsiTheme="minorHAnsi"/>
          <w:color w:val="auto"/>
          <w:lang w:val="hr-BA"/>
        </w:rPr>
      </w:pPr>
    </w:p>
    <w:p w:rsidR="00EA274B" w:rsidRDefault="0006549E" w:rsidP="00EA274B">
      <w:pPr>
        <w:pStyle w:val="Heading3"/>
      </w:pPr>
      <w:bookmarkStart w:id="129" w:name="_Toc442208279"/>
      <w:bookmarkStart w:id="130" w:name="_Toc442208328"/>
      <w:bookmarkStart w:id="131" w:name="_Toc442215027"/>
      <w:r w:rsidRPr="00944D33">
        <w:t xml:space="preserve">Ciljani rezultat 3.2.: </w:t>
      </w:r>
      <w:bookmarkEnd w:id="129"/>
      <w:bookmarkEnd w:id="130"/>
      <w:bookmarkEnd w:id="131"/>
      <w:r w:rsidR="00EA274B">
        <w:t>Povećati kvantitet</w:t>
      </w:r>
      <w:r w:rsidR="00EA274B" w:rsidRPr="00B264D0">
        <w:t xml:space="preserve"> informacija u skladu sa planom praćenja i evaluacije PR u tužilaštvima</w:t>
      </w:r>
    </w:p>
    <w:p w:rsidR="009238E9" w:rsidRPr="00944D33" w:rsidRDefault="009238E9" w:rsidP="00EA274B">
      <w:pPr>
        <w:pStyle w:val="Heading3"/>
      </w:pPr>
    </w:p>
    <w:p w:rsidR="00767617" w:rsidRPr="00944D33" w:rsidRDefault="00767617" w:rsidP="00767617">
      <w:pPr>
        <w:numPr>
          <w:ilvl w:val="0"/>
          <w:numId w:val="28"/>
        </w:num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Povećanjem broja komunikacijskih kanala koji se koriste u </w:t>
      </w:r>
      <w:r w:rsidR="00866373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tužilaštvima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osnaživaće se kapaciteti odnosa sa javnošću te će veći broj građana biti upoznat sa radom tužilaštava, što će dovesti do veće </w:t>
      </w:r>
      <w:r w:rsidR="00866373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transparentnosti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u radu i jačanja povjerenja u rad </w:t>
      </w:r>
      <w:r w:rsidR="005C0006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tužilaštava u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F</w:t>
      </w:r>
      <w:r w:rsidR="005C0006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ederaciji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BiH. </w:t>
      </w:r>
    </w:p>
    <w:p w:rsidR="0006549E" w:rsidRPr="00944D33" w:rsidRDefault="0006549E" w:rsidP="000C3FD9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tbl>
      <w:tblPr>
        <w:tblW w:w="0" w:type="auto"/>
        <w:tblBorders>
          <w:top w:val="single" w:sz="8" w:space="0" w:color="A88AB1"/>
          <w:left w:val="single" w:sz="8" w:space="0" w:color="A88AB1"/>
          <w:bottom w:val="single" w:sz="8" w:space="0" w:color="A88AB1"/>
          <w:right w:val="single" w:sz="8" w:space="0" w:color="A88AB1"/>
          <w:insideH w:val="single" w:sz="8" w:space="0" w:color="A88AB1"/>
          <w:insideV w:val="single" w:sz="8" w:space="0" w:color="A88AB1"/>
        </w:tblBorders>
        <w:tblLook w:val="04A0" w:firstRow="1" w:lastRow="0" w:firstColumn="1" w:lastColumn="0" w:noHBand="0" w:noVBand="1"/>
      </w:tblPr>
      <w:tblGrid>
        <w:gridCol w:w="3354"/>
        <w:gridCol w:w="3353"/>
        <w:gridCol w:w="3353"/>
      </w:tblGrid>
      <w:tr w:rsidR="00EA274B" w:rsidRPr="00944D33" w:rsidTr="008B0233">
        <w:tc>
          <w:tcPr>
            <w:tcW w:w="3432" w:type="dxa"/>
            <w:shd w:val="clear" w:color="auto" w:fill="E2D8E5"/>
          </w:tcPr>
          <w:p w:rsidR="00EA274B" w:rsidRPr="00944D33" w:rsidRDefault="00EA274B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2019</w:t>
            </w:r>
          </w:p>
        </w:tc>
        <w:tc>
          <w:tcPr>
            <w:tcW w:w="3432" w:type="dxa"/>
            <w:shd w:val="clear" w:color="auto" w:fill="E2D8E5"/>
          </w:tcPr>
          <w:p w:rsidR="00EA274B" w:rsidRPr="00944D33" w:rsidRDefault="00EA274B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2020</w:t>
            </w:r>
          </w:p>
        </w:tc>
        <w:tc>
          <w:tcPr>
            <w:tcW w:w="3432" w:type="dxa"/>
            <w:shd w:val="clear" w:color="auto" w:fill="E2D8E5"/>
          </w:tcPr>
          <w:p w:rsidR="00EA274B" w:rsidRPr="00944D33" w:rsidRDefault="00EA274B" w:rsidP="0092626D">
            <w:pPr>
              <w:jc w:val="center"/>
              <w:rPr>
                <w:rFonts w:asciiTheme="minorHAnsi" w:hAnsiTheme="minorHAnsi"/>
                <w:b/>
                <w:bCs/>
                <w:color w:val="auto"/>
                <w:lang w:val="hr-BA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hr-BA"/>
              </w:rPr>
              <w:t>2021</w:t>
            </w:r>
          </w:p>
        </w:tc>
      </w:tr>
      <w:tr w:rsidR="00EA274B" w:rsidRPr="00944D33" w:rsidTr="001A1753">
        <w:tc>
          <w:tcPr>
            <w:tcW w:w="3432" w:type="dxa"/>
            <w:shd w:val="clear" w:color="auto" w:fill="auto"/>
          </w:tcPr>
          <w:p w:rsidR="00EA274B" w:rsidRPr="00EA274B" w:rsidRDefault="00EA274B" w:rsidP="008B023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EA274B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 xml:space="preserve">Povećati za 5% u odnosu na ocjenu datu u 2018. </w:t>
            </w:r>
          </w:p>
        </w:tc>
        <w:tc>
          <w:tcPr>
            <w:tcW w:w="3432" w:type="dxa"/>
            <w:shd w:val="clear" w:color="auto" w:fill="auto"/>
          </w:tcPr>
          <w:p w:rsidR="00EA274B" w:rsidRPr="00EA274B" w:rsidRDefault="00EA274B" w:rsidP="008B023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EA274B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Povećati za 5% u odnosu na ocjenu datu u 2019.</w:t>
            </w:r>
          </w:p>
        </w:tc>
        <w:tc>
          <w:tcPr>
            <w:tcW w:w="3432" w:type="dxa"/>
            <w:shd w:val="clear" w:color="auto" w:fill="auto"/>
          </w:tcPr>
          <w:p w:rsidR="00EA274B" w:rsidRPr="00EA274B" w:rsidRDefault="00EA274B" w:rsidP="008B0233">
            <w:pPr>
              <w:jc w:val="center"/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</w:pPr>
            <w:r w:rsidRPr="00EA274B">
              <w:rPr>
                <w:rFonts w:asciiTheme="minorHAnsi" w:hAnsiTheme="minorHAnsi"/>
                <w:color w:val="auto"/>
                <w:spacing w:val="0"/>
                <w:sz w:val="24"/>
                <w:szCs w:val="24"/>
                <w:lang w:val="hr-BA"/>
              </w:rPr>
              <w:t>Povećati za 5% u odnosu na ocjenu datu u 2021.</w:t>
            </w:r>
          </w:p>
        </w:tc>
      </w:tr>
    </w:tbl>
    <w:p w:rsidR="0060338D" w:rsidRPr="00944D33" w:rsidRDefault="0060338D" w:rsidP="0060338D">
      <w:pPr>
        <w:rPr>
          <w:rFonts w:asciiTheme="minorHAnsi" w:hAnsiTheme="minorHAnsi"/>
          <w:color w:val="auto"/>
          <w:lang w:val="hr-BA"/>
        </w:rPr>
      </w:pPr>
    </w:p>
    <w:p w:rsidR="0060338D" w:rsidRPr="00944D33" w:rsidRDefault="0060338D" w:rsidP="0060338D">
      <w:pPr>
        <w:rPr>
          <w:rFonts w:asciiTheme="minorHAnsi" w:hAnsiTheme="minorHAnsi"/>
          <w:color w:val="auto"/>
          <w:lang w:val="hr-BA"/>
        </w:rPr>
      </w:pPr>
    </w:p>
    <w:p w:rsidR="004C2C40" w:rsidRPr="00944D33" w:rsidRDefault="004C2C40">
      <w:pPr>
        <w:spacing w:line="240" w:lineRule="auto"/>
        <w:rPr>
          <w:rFonts w:asciiTheme="minorHAnsi" w:hAnsiTheme="minorHAnsi"/>
          <w:bCs/>
          <w:color w:val="auto"/>
          <w:sz w:val="36"/>
          <w:szCs w:val="36"/>
          <w:lang w:val="hr-BA"/>
        </w:rPr>
      </w:pPr>
    </w:p>
    <w:p w:rsidR="0006549E" w:rsidRPr="00944D33" w:rsidRDefault="00ED11B6" w:rsidP="00B50865">
      <w:pPr>
        <w:pStyle w:val="Heading1"/>
        <w:spacing w:before="0"/>
        <w:rPr>
          <w:color w:val="auto"/>
        </w:rPr>
      </w:pPr>
      <w:bookmarkStart w:id="132" w:name="_Toc442208280"/>
      <w:bookmarkStart w:id="133" w:name="_Toc442208329"/>
      <w:bookmarkStart w:id="134" w:name="_Toc442215028"/>
      <w:r w:rsidRPr="00944D33">
        <w:rPr>
          <w:color w:val="auto"/>
        </w:rPr>
        <w:br w:type="page"/>
      </w:r>
      <w:bookmarkStart w:id="135" w:name="_Toc502136578"/>
      <w:r w:rsidR="0031012B" w:rsidRPr="00944D33">
        <w:rPr>
          <w:color w:val="auto"/>
        </w:rPr>
        <w:t>R</w:t>
      </w:r>
      <w:r w:rsidR="00A25F69" w:rsidRPr="00944D33">
        <w:rPr>
          <w:color w:val="auto"/>
        </w:rPr>
        <w:t>ealizacija S</w:t>
      </w:r>
      <w:r w:rsidR="0006549E" w:rsidRPr="00944D33">
        <w:rPr>
          <w:color w:val="auto"/>
        </w:rPr>
        <w:t>trateškog okvira</w:t>
      </w:r>
      <w:r w:rsidR="00A25F69" w:rsidRPr="00944D33">
        <w:rPr>
          <w:color w:val="auto"/>
        </w:rPr>
        <w:t xml:space="preserve"> za </w:t>
      </w:r>
      <w:r w:rsidR="00E338C1" w:rsidRPr="00944D33">
        <w:rPr>
          <w:color w:val="auto"/>
        </w:rPr>
        <w:t>tužilaštva u Federaciji</w:t>
      </w:r>
      <w:r w:rsidR="00A25F69" w:rsidRPr="00944D33">
        <w:rPr>
          <w:color w:val="auto"/>
        </w:rPr>
        <w:t xml:space="preserve"> BiH</w:t>
      </w:r>
      <w:bookmarkEnd w:id="132"/>
      <w:bookmarkEnd w:id="133"/>
      <w:bookmarkEnd w:id="134"/>
      <w:bookmarkEnd w:id="135"/>
    </w:p>
    <w:p w:rsidR="00AC6D9C" w:rsidRPr="00944D33" w:rsidRDefault="00AC6D9C" w:rsidP="00767617">
      <w:pPr>
        <w:jc w:val="both"/>
        <w:rPr>
          <w:rFonts w:asciiTheme="minorHAnsi" w:hAnsiTheme="minorHAnsi"/>
          <w:color w:val="auto"/>
          <w:lang w:val="hr-BA"/>
        </w:rPr>
      </w:pPr>
    </w:p>
    <w:p w:rsidR="00AC6D9C" w:rsidRPr="00944D33" w:rsidRDefault="00866373" w:rsidP="00767617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Uputstvo</w:t>
      </w:r>
      <w:r w:rsidR="00AC6D9C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za primjenu Pravilnika</w:t>
      </w:r>
      <w:r w:rsidR="002A161F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</w:t>
      </w:r>
      <w:r w:rsidR="00AC6D9C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o orijentacionim mjerilima za rad tužilaca u tužilaštvima u BiH je propis</w:t>
      </w:r>
      <w:r w:rsidR="002A161F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an</w:t>
      </w:r>
      <w:r w:rsidR="00AC6D9C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a je obaveza i način donošenja, izvještavanja </w:t>
      </w:r>
      <w:r w:rsidR="002A161F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i nadzora nad realizacijom strateškog okvira tužilačkog sistema Federacije BiH i pojedinačnih planova rada. </w:t>
      </w:r>
      <w:r w:rsidR="00AC6D9C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</w:t>
      </w:r>
    </w:p>
    <w:p w:rsidR="002A161F" w:rsidRPr="00944D33" w:rsidRDefault="002A161F" w:rsidP="00767617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767617" w:rsidRPr="00944D33" w:rsidRDefault="00767617" w:rsidP="00B50865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Strateški okvir </w:t>
      </w:r>
      <w:r w:rsidR="00E338C1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za tužilaštva u Federaciji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BiH odredio je misiju i viziju, strateške prioritete i strateške ciljeve. Za svaki od strateških ciljeva identifikovani su ciljani rezultati koji će pojedinačna kantonalna tužilaštva nastojati da, kroz planove rada </w:t>
      </w:r>
      <w:r w:rsidR="00E338C1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da realizuju u periodu od </w:t>
      </w:r>
      <w:r w:rsidR="005033F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2018 – 2020.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godine. </w:t>
      </w:r>
    </w:p>
    <w:p w:rsidR="00767617" w:rsidRPr="00944D33" w:rsidRDefault="00767617" w:rsidP="00767617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767617" w:rsidRPr="00944D33" w:rsidRDefault="00767617" w:rsidP="00767617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Praćenje i procjenu provođenja i djelotvornosti strateških prioriteta i strateških ciljeva putem identifikovanih indikatora će vršiti kolegij glavnih tužilaca Federalnog i kantonalnih tužilaštava, najmanje dva puta u toku jedne kalendarske godine.</w:t>
      </w:r>
    </w:p>
    <w:p w:rsidR="00767617" w:rsidRPr="00944D33" w:rsidRDefault="00767617" w:rsidP="00767617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303FBA" w:rsidRPr="00944D33" w:rsidRDefault="00767617" w:rsidP="005A6DB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Pojedinačna kantonalna tužilaštva će u skladu sa definisanim strateškim ciljevima </w:t>
      </w:r>
      <w:r w:rsidR="00E338C1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i ciljanim rezultatima 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izraditi </w:t>
      </w:r>
      <w:r w:rsidR="00034CB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godišnje p</w:t>
      </w:r>
      <w:r w:rsidR="00E338C1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l</w:t>
      </w:r>
      <w:r w:rsidR="00034CB5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anove rada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, </w:t>
      </w:r>
      <w:r w:rsidR="00E338C1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gdje će definisati svoje godišnje ciljane rezultate, kao i mjere za realizaciju ciljanih rezultata. 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Praćenje provođenja i realizacije strateških planova razmatraće se na kolegijima tužilaca u svakom kantonalnom tužilaštvu, odnosno Federalnom tužilaštvu. </w:t>
      </w:r>
    </w:p>
    <w:p w:rsidR="00303FBA" w:rsidRPr="00944D33" w:rsidRDefault="00303FBA" w:rsidP="005A6DB6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</w:p>
    <w:p w:rsidR="002920F3" w:rsidRPr="00944D33" w:rsidRDefault="00767617" w:rsidP="00767617">
      <w:pPr>
        <w:jc w:val="both"/>
        <w:rPr>
          <w:rFonts w:asciiTheme="minorHAnsi" w:hAnsiTheme="minorHAnsi"/>
          <w:color w:val="auto"/>
          <w:spacing w:val="0"/>
          <w:sz w:val="24"/>
          <w:szCs w:val="24"/>
          <w:lang w:val="hr-BA"/>
        </w:rPr>
      </w:pP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Predviđena realizacija strateških prioriteta i strateških ciljeva zasnovana je na trenutnom stanju kadrovskih i mater</w:t>
      </w:r>
      <w:r w:rsidR="00E338C1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ijalnih resursa kojima raspolažu tužilaštva u 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F</w:t>
      </w:r>
      <w:r w:rsidR="00E338C1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ederaciji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BiH, te bi svako </w:t>
      </w:r>
      <w:r w:rsidR="00E338C1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neplanirano 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smanjenje trenutnih kadrovskih i materijalnih kapaciteta neposredno uticalo na ispunjenje identifikovanih strateških ciljeva</w:t>
      </w:r>
      <w:r w:rsidR="00E338C1"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 xml:space="preserve"> i ciljanih rezultata</w:t>
      </w:r>
      <w:r w:rsidRPr="00944D33">
        <w:rPr>
          <w:rFonts w:asciiTheme="minorHAnsi" w:hAnsiTheme="minorHAnsi"/>
          <w:color w:val="auto"/>
          <w:spacing w:val="0"/>
          <w:sz w:val="24"/>
          <w:szCs w:val="24"/>
          <w:lang w:val="hr-BA"/>
        </w:rPr>
        <w:t>.</w:t>
      </w:r>
    </w:p>
    <w:sectPr w:rsidR="002920F3" w:rsidRPr="00944D33" w:rsidSect="000F13F6">
      <w:headerReference w:type="default" r:id="rId28"/>
      <w:footerReference w:type="even" r:id="rId29"/>
      <w:footerReference w:type="default" r:id="rId3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25" w:rsidRDefault="00E40E25">
      <w:pPr>
        <w:spacing w:line="240" w:lineRule="auto"/>
      </w:pPr>
      <w:r>
        <w:separator/>
      </w:r>
    </w:p>
  </w:endnote>
  <w:endnote w:type="continuationSeparator" w:id="0">
    <w:p w:rsidR="00E40E25" w:rsidRDefault="00E40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31" w:rsidRDefault="00144E31" w:rsidP="00447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E31" w:rsidRDefault="00144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31" w:rsidRDefault="00144E31" w:rsidP="00447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44E">
      <w:rPr>
        <w:rStyle w:val="PageNumber"/>
        <w:noProof/>
      </w:rPr>
      <w:t>6</w:t>
    </w:r>
    <w:r>
      <w:rPr>
        <w:rStyle w:val="PageNumber"/>
      </w:rPr>
      <w:fldChar w:fldCharType="end"/>
    </w:r>
  </w:p>
  <w:p w:rsidR="00144E31" w:rsidRDefault="00144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25" w:rsidRDefault="00E40E25">
      <w:pPr>
        <w:spacing w:line="240" w:lineRule="auto"/>
      </w:pPr>
      <w:r>
        <w:separator/>
      </w:r>
    </w:p>
  </w:footnote>
  <w:footnote w:type="continuationSeparator" w:id="0">
    <w:p w:rsidR="00E40E25" w:rsidRDefault="00E40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88"/>
      <w:gridCol w:w="992"/>
    </w:tblGrid>
    <w:tr w:rsidR="00144E31" w:rsidRPr="008D60BD">
      <w:tc>
        <w:tcPr>
          <w:tcW w:w="9288" w:type="dxa"/>
        </w:tcPr>
        <w:p w:rsidR="00144E31" w:rsidRPr="008B0233" w:rsidRDefault="00144E31" w:rsidP="005033F5">
          <w:pPr>
            <w:pStyle w:val="Header"/>
            <w:rPr>
              <w:spacing w:val="40"/>
              <w:szCs w:val="22"/>
              <w:lang w:val="hr-HR"/>
            </w:rPr>
          </w:pPr>
          <w:r w:rsidRPr="008B0233">
            <w:rPr>
              <w:spacing w:val="40"/>
              <w:szCs w:val="22"/>
              <w:lang w:val="hr-HR"/>
            </w:rPr>
            <w:t>Strateški ok</w:t>
          </w:r>
          <w:r>
            <w:rPr>
              <w:spacing w:val="40"/>
              <w:szCs w:val="22"/>
              <w:lang w:val="hr-HR"/>
            </w:rPr>
            <w:t>vir za period 2019. – 2021</w:t>
          </w:r>
          <w:r w:rsidRPr="008B0233">
            <w:rPr>
              <w:spacing w:val="40"/>
              <w:szCs w:val="22"/>
              <w:lang w:val="hr-HR"/>
            </w:rPr>
            <w:t xml:space="preserve">. </w:t>
          </w:r>
        </w:p>
      </w:tc>
      <w:tc>
        <w:tcPr>
          <w:tcW w:w="1008" w:type="dxa"/>
        </w:tcPr>
        <w:p w:rsidR="00144E31" w:rsidRPr="009503DF" w:rsidRDefault="00144E31">
          <w:pPr>
            <w:pStyle w:val="Header"/>
            <w:jc w:val="right"/>
            <w:rPr>
              <w:spacing w:val="40"/>
              <w:szCs w:val="22"/>
            </w:rPr>
          </w:pPr>
          <w:r w:rsidRPr="009503DF">
            <w:rPr>
              <w:spacing w:val="40"/>
              <w:szCs w:val="22"/>
            </w:rPr>
            <w:fldChar w:fldCharType="begin"/>
          </w:r>
          <w:r w:rsidRPr="009503DF">
            <w:rPr>
              <w:spacing w:val="40"/>
              <w:szCs w:val="22"/>
            </w:rPr>
            <w:instrText xml:space="preserve"> page </w:instrText>
          </w:r>
          <w:r w:rsidRPr="009503DF">
            <w:rPr>
              <w:spacing w:val="40"/>
              <w:szCs w:val="22"/>
            </w:rPr>
            <w:fldChar w:fldCharType="separate"/>
          </w:r>
          <w:r w:rsidR="00AF544E">
            <w:rPr>
              <w:noProof/>
              <w:spacing w:val="40"/>
              <w:szCs w:val="22"/>
            </w:rPr>
            <w:t>6</w:t>
          </w:r>
          <w:r w:rsidRPr="009503DF">
            <w:rPr>
              <w:noProof/>
              <w:spacing w:val="40"/>
              <w:szCs w:val="22"/>
            </w:rPr>
            <w:fldChar w:fldCharType="end"/>
          </w:r>
        </w:p>
      </w:tc>
    </w:tr>
  </w:tbl>
  <w:p w:rsidR="00144E31" w:rsidRDefault="00144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5C3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DC6B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7B4F7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DA30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D43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9D8BB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08263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DA77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46EA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501A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34F9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5605E"/>
    <w:multiLevelType w:val="hybridMultilevel"/>
    <w:tmpl w:val="C3D2DE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50A13"/>
    <w:multiLevelType w:val="hybridMultilevel"/>
    <w:tmpl w:val="6ECC02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122F5"/>
    <w:multiLevelType w:val="hybridMultilevel"/>
    <w:tmpl w:val="6E1A4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A308C"/>
    <w:multiLevelType w:val="hybridMultilevel"/>
    <w:tmpl w:val="357063C6"/>
    <w:lvl w:ilvl="0" w:tplc="141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146" w:hanging="360"/>
      </w:pPr>
    </w:lvl>
    <w:lvl w:ilvl="2" w:tplc="141A001B" w:tentative="1">
      <w:start w:val="1"/>
      <w:numFmt w:val="lowerRoman"/>
      <w:lvlText w:val="%3."/>
      <w:lvlJc w:val="right"/>
      <w:pPr>
        <w:ind w:left="1866" w:hanging="180"/>
      </w:pPr>
    </w:lvl>
    <w:lvl w:ilvl="3" w:tplc="141A000F" w:tentative="1">
      <w:start w:val="1"/>
      <w:numFmt w:val="decimal"/>
      <w:lvlText w:val="%4."/>
      <w:lvlJc w:val="left"/>
      <w:pPr>
        <w:ind w:left="2586" w:hanging="360"/>
      </w:pPr>
    </w:lvl>
    <w:lvl w:ilvl="4" w:tplc="141A0019" w:tentative="1">
      <w:start w:val="1"/>
      <w:numFmt w:val="lowerLetter"/>
      <w:lvlText w:val="%5."/>
      <w:lvlJc w:val="left"/>
      <w:pPr>
        <w:ind w:left="3306" w:hanging="360"/>
      </w:pPr>
    </w:lvl>
    <w:lvl w:ilvl="5" w:tplc="141A001B" w:tentative="1">
      <w:start w:val="1"/>
      <w:numFmt w:val="lowerRoman"/>
      <w:lvlText w:val="%6."/>
      <w:lvlJc w:val="right"/>
      <w:pPr>
        <w:ind w:left="4026" w:hanging="180"/>
      </w:pPr>
    </w:lvl>
    <w:lvl w:ilvl="6" w:tplc="141A000F" w:tentative="1">
      <w:start w:val="1"/>
      <w:numFmt w:val="decimal"/>
      <w:lvlText w:val="%7."/>
      <w:lvlJc w:val="left"/>
      <w:pPr>
        <w:ind w:left="4746" w:hanging="360"/>
      </w:pPr>
    </w:lvl>
    <w:lvl w:ilvl="7" w:tplc="141A0019" w:tentative="1">
      <w:start w:val="1"/>
      <w:numFmt w:val="lowerLetter"/>
      <w:lvlText w:val="%8."/>
      <w:lvlJc w:val="left"/>
      <w:pPr>
        <w:ind w:left="5466" w:hanging="360"/>
      </w:pPr>
    </w:lvl>
    <w:lvl w:ilvl="8" w:tplc="1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13FC4E44"/>
    <w:multiLevelType w:val="hybridMultilevel"/>
    <w:tmpl w:val="B39844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850E3"/>
    <w:multiLevelType w:val="hybridMultilevel"/>
    <w:tmpl w:val="CBECA1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A21562"/>
    <w:multiLevelType w:val="hybridMultilevel"/>
    <w:tmpl w:val="2290534A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75F493F"/>
    <w:multiLevelType w:val="hybridMultilevel"/>
    <w:tmpl w:val="7E8EA7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ED5"/>
    <w:multiLevelType w:val="hybridMultilevel"/>
    <w:tmpl w:val="23748798"/>
    <w:lvl w:ilvl="0" w:tplc="141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146" w:hanging="360"/>
      </w:pPr>
    </w:lvl>
    <w:lvl w:ilvl="2" w:tplc="141A001B" w:tentative="1">
      <w:start w:val="1"/>
      <w:numFmt w:val="lowerRoman"/>
      <w:lvlText w:val="%3."/>
      <w:lvlJc w:val="right"/>
      <w:pPr>
        <w:ind w:left="1866" w:hanging="180"/>
      </w:pPr>
    </w:lvl>
    <w:lvl w:ilvl="3" w:tplc="141A000F" w:tentative="1">
      <w:start w:val="1"/>
      <w:numFmt w:val="decimal"/>
      <w:lvlText w:val="%4."/>
      <w:lvlJc w:val="left"/>
      <w:pPr>
        <w:ind w:left="2586" w:hanging="360"/>
      </w:pPr>
    </w:lvl>
    <w:lvl w:ilvl="4" w:tplc="141A0019" w:tentative="1">
      <w:start w:val="1"/>
      <w:numFmt w:val="lowerLetter"/>
      <w:lvlText w:val="%5."/>
      <w:lvlJc w:val="left"/>
      <w:pPr>
        <w:ind w:left="3306" w:hanging="360"/>
      </w:pPr>
    </w:lvl>
    <w:lvl w:ilvl="5" w:tplc="141A001B" w:tentative="1">
      <w:start w:val="1"/>
      <w:numFmt w:val="lowerRoman"/>
      <w:lvlText w:val="%6."/>
      <w:lvlJc w:val="right"/>
      <w:pPr>
        <w:ind w:left="4026" w:hanging="180"/>
      </w:pPr>
    </w:lvl>
    <w:lvl w:ilvl="6" w:tplc="141A000F" w:tentative="1">
      <w:start w:val="1"/>
      <w:numFmt w:val="decimal"/>
      <w:lvlText w:val="%7."/>
      <w:lvlJc w:val="left"/>
      <w:pPr>
        <w:ind w:left="4746" w:hanging="360"/>
      </w:pPr>
    </w:lvl>
    <w:lvl w:ilvl="7" w:tplc="141A0019" w:tentative="1">
      <w:start w:val="1"/>
      <w:numFmt w:val="lowerLetter"/>
      <w:lvlText w:val="%8."/>
      <w:lvlJc w:val="left"/>
      <w:pPr>
        <w:ind w:left="5466" w:hanging="360"/>
      </w:pPr>
    </w:lvl>
    <w:lvl w:ilvl="8" w:tplc="1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2C4B66C1"/>
    <w:multiLevelType w:val="hybridMultilevel"/>
    <w:tmpl w:val="8D0A5390"/>
    <w:lvl w:ilvl="0" w:tplc="141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146" w:hanging="360"/>
      </w:pPr>
    </w:lvl>
    <w:lvl w:ilvl="2" w:tplc="141A001B" w:tentative="1">
      <w:start w:val="1"/>
      <w:numFmt w:val="lowerRoman"/>
      <w:lvlText w:val="%3."/>
      <w:lvlJc w:val="right"/>
      <w:pPr>
        <w:ind w:left="1866" w:hanging="180"/>
      </w:pPr>
    </w:lvl>
    <w:lvl w:ilvl="3" w:tplc="141A000F" w:tentative="1">
      <w:start w:val="1"/>
      <w:numFmt w:val="decimal"/>
      <w:lvlText w:val="%4."/>
      <w:lvlJc w:val="left"/>
      <w:pPr>
        <w:ind w:left="2586" w:hanging="360"/>
      </w:pPr>
    </w:lvl>
    <w:lvl w:ilvl="4" w:tplc="141A0019" w:tentative="1">
      <w:start w:val="1"/>
      <w:numFmt w:val="lowerLetter"/>
      <w:lvlText w:val="%5."/>
      <w:lvlJc w:val="left"/>
      <w:pPr>
        <w:ind w:left="3306" w:hanging="360"/>
      </w:pPr>
    </w:lvl>
    <w:lvl w:ilvl="5" w:tplc="141A001B" w:tentative="1">
      <w:start w:val="1"/>
      <w:numFmt w:val="lowerRoman"/>
      <w:lvlText w:val="%6."/>
      <w:lvlJc w:val="right"/>
      <w:pPr>
        <w:ind w:left="4026" w:hanging="180"/>
      </w:pPr>
    </w:lvl>
    <w:lvl w:ilvl="6" w:tplc="141A000F" w:tentative="1">
      <w:start w:val="1"/>
      <w:numFmt w:val="decimal"/>
      <w:lvlText w:val="%7."/>
      <w:lvlJc w:val="left"/>
      <w:pPr>
        <w:ind w:left="4746" w:hanging="360"/>
      </w:pPr>
    </w:lvl>
    <w:lvl w:ilvl="7" w:tplc="141A0019" w:tentative="1">
      <w:start w:val="1"/>
      <w:numFmt w:val="lowerLetter"/>
      <w:lvlText w:val="%8."/>
      <w:lvlJc w:val="left"/>
      <w:pPr>
        <w:ind w:left="5466" w:hanging="360"/>
      </w:pPr>
    </w:lvl>
    <w:lvl w:ilvl="8" w:tplc="1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2CB83ED4"/>
    <w:multiLevelType w:val="hybridMultilevel"/>
    <w:tmpl w:val="2DF46A48"/>
    <w:lvl w:ilvl="0" w:tplc="1CA89A70">
      <w:start w:val="220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D501B"/>
    <w:multiLevelType w:val="hybridMultilevel"/>
    <w:tmpl w:val="CBE0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15C3C"/>
    <w:multiLevelType w:val="hybridMultilevel"/>
    <w:tmpl w:val="82AC6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6C40EA"/>
    <w:multiLevelType w:val="hybridMultilevel"/>
    <w:tmpl w:val="48A07872"/>
    <w:lvl w:ilvl="0" w:tplc="141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146" w:hanging="360"/>
      </w:pPr>
    </w:lvl>
    <w:lvl w:ilvl="2" w:tplc="141A001B" w:tentative="1">
      <w:start w:val="1"/>
      <w:numFmt w:val="lowerRoman"/>
      <w:lvlText w:val="%3."/>
      <w:lvlJc w:val="right"/>
      <w:pPr>
        <w:ind w:left="1866" w:hanging="180"/>
      </w:pPr>
    </w:lvl>
    <w:lvl w:ilvl="3" w:tplc="141A000F" w:tentative="1">
      <w:start w:val="1"/>
      <w:numFmt w:val="decimal"/>
      <w:lvlText w:val="%4."/>
      <w:lvlJc w:val="left"/>
      <w:pPr>
        <w:ind w:left="2586" w:hanging="360"/>
      </w:pPr>
    </w:lvl>
    <w:lvl w:ilvl="4" w:tplc="141A0019" w:tentative="1">
      <w:start w:val="1"/>
      <w:numFmt w:val="lowerLetter"/>
      <w:lvlText w:val="%5."/>
      <w:lvlJc w:val="left"/>
      <w:pPr>
        <w:ind w:left="3306" w:hanging="360"/>
      </w:pPr>
    </w:lvl>
    <w:lvl w:ilvl="5" w:tplc="141A001B" w:tentative="1">
      <w:start w:val="1"/>
      <w:numFmt w:val="lowerRoman"/>
      <w:lvlText w:val="%6."/>
      <w:lvlJc w:val="right"/>
      <w:pPr>
        <w:ind w:left="4026" w:hanging="180"/>
      </w:pPr>
    </w:lvl>
    <w:lvl w:ilvl="6" w:tplc="141A000F" w:tentative="1">
      <w:start w:val="1"/>
      <w:numFmt w:val="decimal"/>
      <w:lvlText w:val="%7."/>
      <w:lvlJc w:val="left"/>
      <w:pPr>
        <w:ind w:left="4746" w:hanging="360"/>
      </w:pPr>
    </w:lvl>
    <w:lvl w:ilvl="7" w:tplc="141A0019" w:tentative="1">
      <w:start w:val="1"/>
      <w:numFmt w:val="lowerLetter"/>
      <w:lvlText w:val="%8."/>
      <w:lvlJc w:val="left"/>
      <w:pPr>
        <w:ind w:left="5466" w:hanging="360"/>
      </w:pPr>
    </w:lvl>
    <w:lvl w:ilvl="8" w:tplc="1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2543661"/>
    <w:multiLevelType w:val="hybridMultilevel"/>
    <w:tmpl w:val="B9AC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B67AA"/>
    <w:multiLevelType w:val="hybridMultilevel"/>
    <w:tmpl w:val="640EEDD6"/>
    <w:lvl w:ilvl="0" w:tplc="141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146" w:hanging="360"/>
      </w:pPr>
    </w:lvl>
    <w:lvl w:ilvl="2" w:tplc="141A001B" w:tentative="1">
      <w:start w:val="1"/>
      <w:numFmt w:val="lowerRoman"/>
      <w:lvlText w:val="%3."/>
      <w:lvlJc w:val="right"/>
      <w:pPr>
        <w:ind w:left="1866" w:hanging="180"/>
      </w:pPr>
    </w:lvl>
    <w:lvl w:ilvl="3" w:tplc="141A000F" w:tentative="1">
      <w:start w:val="1"/>
      <w:numFmt w:val="decimal"/>
      <w:lvlText w:val="%4."/>
      <w:lvlJc w:val="left"/>
      <w:pPr>
        <w:ind w:left="2586" w:hanging="360"/>
      </w:pPr>
    </w:lvl>
    <w:lvl w:ilvl="4" w:tplc="141A0019" w:tentative="1">
      <w:start w:val="1"/>
      <w:numFmt w:val="lowerLetter"/>
      <w:lvlText w:val="%5."/>
      <w:lvlJc w:val="left"/>
      <w:pPr>
        <w:ind w:left="3306" w:hanging="360"/>
      </w:pPr>
    </w:lvl>
    <w:lvl w:ilvl="5" w:tplc="141A001B" w:tentative="1">
      <w:start w:val="1"/>
      <w:numFmt w:val="lowerRoman"/>
      <w:lvlText w:val="%6."/>
      <w:lvlJc w:val="right"/>
      <w:pPr>
        <w:ind w:left="4026" w:hanging="180"/>
      </w:pPr>
    </w:lvl>
    <w:lvl w:ilvl="6" w:tplc="141A000F" w:tentative="1">
      <w:start w:val="1"/>
      <w:numFmt w:val="decimal"/>
      <w:lvlText w:val="%7."/>
      <w:lvlJc w:val="left"/>
      <w:pPr>
        <w:ind w:left="4746" w:hanging="360"/>
      </w:pPr>
    </w:lvl>
    <w:lvl w:ilvl="7" w:tplc="141A0019" w:tentative="1">
      <w:start w:val="1"/>
      <w:numFmt w:val="lowerLetter"/>
      <w:lvlText w:val="%8."/>
      <w:lvlJc w:val="left"/>
      <w:pPr>
        <w:ind w:left="5466" w:hanging="360"/>
      </w:pPr>
    </w:lvl>
    <w:lvl w:ilvl="8" w:tplc="1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75F299E"/>
    <w:multiLevelType w:val="hybridMultilevel"/>
    <w:tmpl w:val="BDB20FB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2F70"/>
    <w:multiLevelType w:val="hybridMultilevel"/>
    <w:tmpl w:val="3758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7617"/>
    <w:multiLevelType w:val="hybridMultilevel"/>
    <w:tmpl w:val="4ED2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87667"/>
    <w:multiLevelType w:val="hybridMultilevel"/>
    <w:tmpl w:val="3E54A8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F7F5C"/>
    <w:multiLevelType w:val="hybridMultilevel"/>
    <w:tmpl w:val="A17A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658A5"/>
    <w:multiLevelType w:val="hybridMultilevel"/>
    <w:tmpl w:val="E6BA0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E3DE1"/>
    <w:multiLevelType w:val="hybridMultilevel"/>
    <w:tmpl w:val="2C0E68A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24699"/>
    <w:multiLevelType w:val="hybridMultilevel"/>
    <w:tmpl w:val="51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77A12"/>
    <w:multiLevelType w:val="hybridMultilevel"/>
    <w:tmpl w:val="D4A0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9"/>
  </w:num>
  <w:num w:numId="12">
    <w:abstractNumId w:val="22"/>
  </w:num>
  <w:num w:numId="13">
    <w:abstractNumId w:val="28"/>
  </w:num>
  <w:num w:numId="14">
    <w:abstractNumId w:val="15"/>
  </w:num>
  <w:num w:numId="15">
    <w:abstractNumId w:val="33"/>
  </w:num>
  <w:num w:numId="16">
    <w:abstractNumId w:val="20"/>
  </w:num>
  <w:num w:numId="17">
    <w:abstractNumId w:val="19"/>
  </w:num>
  <w:num w:numId="18">
    <w:abstractNumId w:val="26"/>
  </w:num>
  <w:num w:numId="19">
    <w:abstractNumId w:val="24"/>
  </w:num>
  <w:num w:numId="20">
    <w:abstractNumId w:val="14"/>
  </w:num>
  <w:num w:numId="21">
    <w:abstractNumId w:val="11"/>
  </w:num>
  <w:num w:numId="22">
    <w:abstractNumId w:val="17"/>
  </w:num>
  <w:num w:numId="23">
    <w:abstractNumId w:val="12"/>
  </w:num>
  <w:num w:numId="24">
    <w:abstractNumId w:val="0"/>
  </w:num>
  <w:num w:numId="25">
    <w:abstractNumId w:val="34"/>
  </w:num>
  <w:num w:numId="26">
    <w:abstractNumId w:val="23"/>
  </w:num>
  <w:num w:numId="27">
    <w:abstractNumId w:val="31"/>
  </w:num>
  <w:num w:numId="28">
    <w:abstractNumId w:val="27"/>
  </w:num>
  <w:num w:numId="29">
    <w:abstractNumId w:val="18"/>
  </w:num>
  <w:num w:numId="30">
    <w:abstractNumId w:val="30"/>
  </w:num>
  <w:num w:numId="31">
    <w:abstractNumId w:val="16"/>
  </w:num>
  <w:num w:numId="32">
    <w:abstractNumId w:val="35"/>
  </w:num>
  <w:num w:numId="33">
    <w:abstractNumId w:val="32"/>
  </w:num>
  <w:num w:numId="34">
    <w:abstractNumId w:val="13"/>
  </w:num>
  <w:num w:numId="35">
    <w:abstractNumId w:val="2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26051"/>
    <w:rsid w:val="000004FE"/>
    <w:rsid w:val="000052AD"/>
    <w:rsid w:val="00011BCC"/>
    <w:rsid w:val="00013A89"/>
    <w:rsid w:val="00021341"/>
    <w:rsid w:val="00023924"/>
    <w:rsid w:val="00027B20"/>
    <w:rsid w:val="00032D95"/>
    <w:rsid w:val="00034CB5"/>
    <w:rsid w:val="000357A8"/>
    <w:rsid w:val="00042408"/>
    <w:rsid w:val="0004309B"/>
    <w:rsid w:val="00054B46"/>
    <w:rsid w:val="00061428"/>
    <w:rsid w:val="0006156E"/>
    <w:rsid w:val="00063EA0"/>
    <w:rsid w:val="0006549E"/>
    <w:rsid w:val="0007136D"/>
    <w:rsid w:val="000740DD"/>
    <w:rsid w:val="000823F4"/>
    <w:rsid w:val="000834D9"/>
    <w:rsid w:val="00085379"/>
    <w:rsid w:val="00094F99"/>
    <w:rsid w:val="00097D36"/>
    <w:rsid w:val="000A067D"/>
    <w:rsid w:val="000A19D4"/>
    <w:rsid w:val="000A2285"/>
    <w:rsid w:val="000B14EE"/>
    <w:rsid w:val="000B48E7"/>
    <w:rsid w:val="000B4913"/>
    <w:rsid w:val="000B5190"/>
    <w:rsid w:val="000C3FD9"/>
    <w:rsid w:val="000C4387"/>
    <w:rsid w:val="000C7B26"/>
    <w:rsid w:val="000D03A4"/>
    <w:rsid w:val="000D16E4"/>
    <w:rsid w:val="000D4F3F"/>
    <w:rsid w:val="000D4FD0"/>
    <w:rsid w:val="000D59FD"/>
    <w:rsid w:val="000D6892"/>
    <w:rsid w:val="000E0696"/>
    <w:rsid w:val="000E3930"/>
    <w:rsid w:val="000F13F6"/>
    <w:rsid w:val="000F4400"/>
    <w:rsid w:val="001079FF"/>
    <w:rsid w:val="00107A9A"/>
    <w:rsid w:val="00123940"/>
    <w:rsid w:val="001328FA"/>
    <w:rsid w:val="001379D8"/>
    <w:rsid w:val="00137B37"/>
    <w:rsid w:val="00143C75"/>
    <w:rsid w:val="00144E31"/>
    <w:rsid w:val="00153224"/>
    <w:rsid w:val="00157083"/>
    <w:rsid w:val="00165967"/>
    <w:rsid w:val="001739B0"/>
    <w:rsid w:val="00174560"/>
    <w:rsid w:val="0019292E"/>
    <w:rsid w:val="00194573"/>
    <w:rsid w:val="001A1753"/>
    <w:rsid w:val="001B7BF2"/>
    <w:rsid w:val="001C1F79"/>
    <w:rsid w:val="001C3BB5"/>
    <w:rsid w:val="001D2F2B"/>
    <w:rsid w:val="001E46F3"/>
    <w:rsid w:val="001F6B72"/>
    <w:rsid w:val="001F79B3"/>
    <w:rsid w:val="00203E44"/>
    <w:rsid w:val="00216B34"/>
    <w:rsid w:val="00231B1E"/>
    <w:rsid w:val="00235043"/>
    <w:rsid w:val="00240288"/>
    <w:rsid w:val="00241FDD"/>
    <w:rsid w:val="00242494"/>
    <w:rsid w:val="00246921"/>
    <w:rsid w:val="00250550"/>
    <w:rsid w:val="00253B18"/>
    <w:rsid w:val="00253BF3"/>
    <w:rsid w:val="00287A9F"/>
    <w:rsid w:val="002920F3"/>
    <w:rsid w:val="00293EBF"/>
    <w:rsid w:val="00295378"/>
    <w:rsid w:val="002A161F"/>
    <w:rsid w:val="002A58CC"/>
    <w:rsid w:val="002A5D88"/>
    <w:rsid w:val="002A7EFF"/>
    <w:rsid w:val="002B5A83"/>
    <w:rsid w:val="002B6BF6"/>
    <w:rsid w:val="002C0CE3"/>
    <w:rsid w:val="002E0264"/>
    <w:rsid w:val="002E2F63"/>
    <w:rsid w:val="002F2778"/>
    <w:rsid w:val="002F556D"/>
    <w:rsid w:val="00302040"/>
    <w:rsid w:val="00303FBA"/>
    <w:rsid w:val="0030683E"/>
    <w:rsid w:val="00306F91"/>
    <w:rsid w:val="0031012B"/>
    <w:rsid w:val="00313406"/>
    <w:rsid w:val="00331DC4"/>
    <w:rsid w:val="00334539"/>
    <w:rsid w:val="0035563D"/>
    <w:rsid w:val="003638C1"/>
    <w:rsid w:val="0037120B"/>
    <w:rsid w:val="003741C0"/>
    <w:rsid w:val="003827A5"/>
    <w:rsid w:val="00392E56"/>
    <w:rsid w:val="00394AA7"/>
    <w:rsid w:val="003A1FD7"/>
    <w:rsid w:val="003A3004"/>
    <w:rsid w:val="003A53C1"/>
    <w:rsid w:val="003C1EDC"/>
    <w:rsid w:val="003C2D49"/>
    <w:rsid w:val="003C774A"/>
    <w:rsid w:val="003D214A"/>
    <w:rsid w:val="003D5844"/>
    <w:rsid w:val="003D6D00"/>
    <w:rsid w:val="003E2004"/>
    <w:rsid w:val="003E24DD"/>
    <w:rsid w:val="003E736F"/>
    <w:rsid w:val="00406F88"/>
    <w:rsid w:val="004127F7"/>
    <w:rsid w:val="00413D03"/>
    <w:rsid w:val="00414218"/>
    <w:rsid w:val="0041575F"/>
    <w:rsid w:val="00421E27"/>
    <w:rsid w:val="00422D05"/>
    <w:rsid w:val="00422F00"/>
    <w:rsid w:val="0042490A"/>
    <w:rsid w:val="00427688"/>
    <w:rsid w:val="00433740"/>
    <w:rsid w:val="00435760"/>
    <w:rsid w:val="00436A36"/>
    <w:rsid w:val="00447CEF"/>
    <w:rsid w:val="00451C7E"/>
    <w:rsid w:val="00453C36"/>
    <w:rsid w:val="00455A2E"/>
    <w:rsid w:val="00456483"/>
    <w:rsid w:val="00466B95"/>
    <w:rsid w:val="004730A1"/>
    <w:rsid w:val="00473BE6"/>
    <w:rsid w:val="00474431"/>
    <w:rsid w:val="0049484D"/>
    <w:rsid w:val="004A0222"/>
    <w:rsid w:val="004A504F"/>
    <w:rsid w:val="004A7F54"/>
    <w:rsid w:val="004C2C40"/>
    <w:rsid w:val="004D63E4"/>
    <w:rsid w:val="004E1E25"/>
    <w:rsid w:val="004E2C52"/>
    <w:rsid w:val="004F0C29"/>
    <w:rsid w:val="004F653B"/>
    <w:rsid w:val="004F770D"/>
    <w:rsid w:val="005033F5"/>
    <w:rsid w:val="00526485"/>
    <w:rsid w:val="00554D7E"/>
    <w:rsid w:val="00562093"/>
    <w:rsid w:val="0056646E"/>
    <w:rsid w:val="00573CFE"/>
    <w:rsid w:val="00583175"/>
    <w:rsid w:val="00590580"/>
    <w:rsid w:val="00590BA8"/>
    <w:rsid w:val="00592468"/>
    <w:rsid w:val="00592EF7"/>
    <w:rsid w:val="00597D6F"/>
    <w:rsid w:val="005A2266"/>
    <w:rsid w:val="005A6DB6"/>
    <w:rsid w:val="005B4E61"/>
    <w:rsid w:val="005C0006"/>
    <w:rsid w:val="005C3D51"/>
    <w:rsid w:val="005D5804"/>
    <w:rsid w:val="005E3B34"/>
    <w:rsid w:val="005E4A36"/>
    <w:rsid w:val="005E7094"/>
    <w:rsid w:val="005F2083"/>
    <w:rsid w:val="005F3962"/>
    <w:rsid w:val="005F4D94"/>
    <w:rsid w:val="005F67D0"/>
    <w:rsid w:val="0060338D"/>
    <w:rsid w:val="00604781"/>
    <w:rsid w:val="00611230"/>
    <w:rsid w:val="00611AA5"/>
    <w:rsid w:val="00614D92"/>
    <w:rsid w:val="0062298F"/>
    <w:rsid w:val="00633DCE"/>
    <w:rsid w:val="00636040"/>
    <w:rsid w:val="00643902"/>
    <w:rsid w:val="006624A0"/>
    <w:rsid w:val="006701F9"/>
    <w:rsid w:val="00675755"/>
    <w:rsid w:val="00680831"/>
    <w:rsid w:val="006850FB"/>
    <w:rsid w:val="00685BD6"/>
    <w:rsid w:val="006869E8"/>
    <w:rsid w:val="00687049"/>
    <w:rsid w:val="0069399A"/>
    <w:rsid w:val="006A50D5"/>
    <w:rsid w:val="006B07DF"/>
    <w:rsid w:val="006B475A"/>
    <w:rsid w:val="006B6C26"/>
    <w:rsid w:val="006E1E73"/>
    <w:rsid w:val="006E300E"/>
    <w:rsid w:val="006E5A3A"/>
    <w:rsid w:val="006F3C14"/>
    <w:rsid w:val="007017A0"/>
    <w:rsid w:val="00704E8C"/>
    <w:rsid w:val="00712528"/>
    <w:rsid w:val="00723426"/>
    <w:rsid w:val="00724A7A"/>
    <w:rsid w:val="00724ABA"/>
    <w:rsid w:val="00730B3D"/>
    <w:rsid w:val="0073765F"/>
    <w:rsid w:val="00740485"/>
    <w:rsid w:val="007507F7"/>
    <w:rsid w:val="007559DD"/>
    <w:rsid w:val="007610E4"/>
    <w:rsid w:val="00762EE8"/>
    <w:rsid w:val="00765364"/>
    <w:rsid w:val="00767617"/>
    <w:rsid w:val="0077085C"/>
    <w:rsid w:val="00775BC2"/>
    <w:rsid w:val="00776E90"/>
    <w:rsid w:val="00780F0C"/>
    <w:rsid w:val="007824EF"/>
    <w:rsid w:val="00782C0A"/>
    <w:rsid w:val="0078579B"/>
    <w:rsid w:val="0078769D"/>
    <w:rsid w:val="00787EDB"/>
    <w:rsid w:val="00790939"/>
    <w:rsid w:val="007B0CDB"/>
    <w:rsid w:val="007C27B1"/>
    <w:rsid w:val="007D18CE"/>
    <w:rsid w:val="007D3CAE"/>
    <w:rsid w:val="007D4799"/>
    <w:rsid w:val="007E30A0"/>
    <w:rsid w:val="0080275E"/>
    <w:rsid w:val="00803EA8"/>
    <w:rsid w:val="00813671"/>
    <w:rsid w:val="008148DB"/>
    <w:rsid w:val="00815D1C"/>
    <w:rsid w:val="00817ABE"/>
    <w:rsid w:val="00817CA8"/>
    <w:rsid w:val="00820A62"/>
    <w:rsid w:val="00821F76"/>
    <w:rsid w:val="00823359"/>
    <w:rsid w:val="00826524"/>
    <w:rsid w:val="00837542"/>
    <w:rsid w:val="0084376C"/>
    <w:rsid w:val="008466D3"/>
    <w:rsid w:val="00846CD4"/>
    <w:rsid w:val="00851869"/>
    <w:rsid w:val="00852396"/>
    <w:rsid w:val="00853A77"/>
    <w:rsid w:val="00853C39"/>
    <w:rsid w:val="0086559E"/>
    <w:rsid w:val="00866373"/>
    <w:rsid w:val="00867F71"/>
    <w:rsid w:val="00871B17"/>
    <w:rsid w:val="00884B93"/>
    <w:rsid w:val="00885C25"/>
    <w:rsid w:val="0089500C"/>
    <w:rsid w:val="008A2CBA"/>
    <w:rsid w:val="008A4B7B"/>
    <w:rsid w:val="008B0233"/>
    <w:rsid w:val="008B0E88"/>
    <w:rsid w:val="008C05E1"/>
    <w:rsid w:val="008C7F4E"/>
    <w:rsid w:val="008D60BD"/>
    <w:rsid w:val="008E1025"/>
    <w:rsid w:val="008E3696"/>
    <w:rsid w:val="008F3BAB"/>
    <w:rsid w:val="008F3EFC"/>
    <w:rsid w:val="00902EB6"/>
    <w:rsid w:val="00907A5A"/>
    <w:rsid w:val="00911AE2"/>
    <w:rsid w:val="009238E9"/>
    <w:rsid w:val="0092626D"/>
    <w:rsid w:val="00937E89"/>
    <w:rsid w:val="0094012C"/>
    <w:rsid w:val="00944D33"/>
    <w:rsid w:val="00946D58"/>
    <w:rsid w:val="00947427"/>
    <w:rsid w:val="009503DF"/>
    <w:rsid w:val="00956113"/>
    <w:rsid w:val="009611F5"/>
    <w:rsid w:val="00961992"/>
    <w:rsid w:val="00963965"/>
    <w:rsid w:val="00966289"/>
    <w:rsid w:val="0097020A"/>
    <w:rsid w:val="009760FF"/>
    <w:rsid w:val="00981C5B"/>
    <w:rsid w:val="009844B5"/>
    <w:rsid w:val="00990042"/>
    <w:rsid w:val="00994F55"/>
    <w:rsid w:val="009A02AC"/>
    <w:rsid w:val="009A3064"/>
    <w:rsid w:val="009A66B6"/>
    <w:rsid w:val="009A7FED"/>
    <w:rsid w:val="009C5894"/>
    <w:rsid w:val="009C7B13"/>
    <w:rsid w:val="009D3044"/>
    <w:rsid w:val="009D71EF"/>
    <w:rsid w:val="009E50EA"/>
    <w:rsid w:val="009F5A9A"/>
    <w:rsid w:val="00A054CA"/>
    <w:rsid w:val="00A13EB9"/>
    <w:rsid w:val="00A177A9"/>
    <w:rsid w:val="00A24B0B"/>
    <w:rsid w:val="00A25F69"/>
    <w:rsid w:val="00A30E92"/>
    <w:rsid w:val="00A343D1"/>
    <w:rsid w:val="00A36AC7"/>
    <w:rsid w:val="00A41A1F"/>
    <w:rsid w:val="00A4216A"/>
    <w:rsid w:val="00A445A1"/>
    <w:rsid w:val="00A5067B"/>
    <w:rsid w:val="00A507F1"/>
    <w:rsid w:val="00A57329"/>
    <w:rsid w:val="00A61A5A"/>
    <w:rsid w:val="00A62DAB"/>
    <w:rsid w:val="00A657E6"/>
    <w:rsid w:val="00A66069"/>
    <w:rsid w:val="00A70731"/>
    <w:rsid w:val="00A72637"/>
    <w:rsid w:val="00A75CD2"/>
    <w:rsid w:val="00A82DC4"/>
    <w:rsid w:val="00A85322"/>
    <w:rsid w:val="00A92EDC"/>
    <w:rsid w:val="00AA5F57"/>
    <w:rsid w:val="00AA6940"/>
    <w:rsid w:val="00AC24C3"/>
    <w:rsid w:val="00AC2C6D"/>
    <w:rsid w:val="00AC59EF"/>
    <w:rsid w:val="00AC6A57"/>
    <w:rsid w:val="00AC6D9C"/>
    <w:rsid w:val="00AC7D37"/>
    <w:rsid w:val="00AD4DB3"/>
    <w:rsid w:val="00AF544E"/>
    <w:rsid w:val="00AF6555"/>
    <w:rsid w:val="00B02E43"/>
    <w:rsid w:val="00B04B04"/>
    <w:rsid w:val="00B06C99"/>
    <w:rsid w:val="00B11B13"/>
    <w:rsid w:val="00B26051"/>
    <w:rsid w:val="00B264B0"/>
    <w:rsid w:val="00B264D0"/>
    <w:rsid w:val="00B373BA"/>
    <w:rsid w:val="00B4071E"/>
    <w:rsid w:val="00B4399C"/>
    <w:rsid w:val="00B44753"/>
    <w:rsid w:val="00B4752B"/>
    <w:rsid w:val="00B50553"/>
    <w:rsid w:val="00B50865"/>
    <w:rsid w:val="00B5365B"/>
    <w:rsid w:val="00B55F58"/>
    <w:rsid w:val="00B56F52"/>
    <w:rsid w:val="00B6181B"/>
    <w:rsid w:val="00B65227"/>
    <w:rsid w:val="00B74BC1"/>
    <w:rsid w:val="00B82E0D"/>
    <w:rsid w:val="00B830AE"/>
    <w:rsid w:val="00B97822"/>
    <w:rsid w:val="00BA2C23"/>
    <w:rsid w:val="00BA4248"/>
    <w:rsid w:val="00BA60C7"/>
    <w:rsid w:val="00BB177A"/>
    <w:rsid w:val="00BB5D0B"/>
    <w:rsid w:val="00BB69EB"/>
    <w:rsid w:val="00BC4E87"/>
    <w:rsid w:val="00BD3EB2"/>
    <w:rsid w:val="00BE6639"/>
    <w:rsid w:val="00BE7FE3"/>
    <w:rsid w:val="00C012B4"/>
    <w:rsid w:val="00C01752"/>
    <w:rsid w:val="00C03B0C"/>
    <w:rsid w:val="00C07D3B"/>
    <w:rsid w:val="00C10078"/>
    <w:rsid w:val="00C112E9"/>
    <w:rsid w:val="00C2092C"/>
    <w:rsid w:val="00C3192C"/>
    <w:rsid w:val="00C369C6"/>
    <w:rsid w:val="00C47208"/>
    <w:rsid w:val="00C572CC"/>
    <w:rsid w:val="00C6257C"/>
    <w:rsid w:val="00C67B05"/>
    <w:rsid w:val="00C845BE"/>
    <w:rsid w:val="00C906F4"/>
    <w:rsid w:val="00C90F9C"/>
    <w:rsid w:val="00CB27CD"/>
    <w:rsid w:val="00CC27DE"/>
    <w:rsid w:val="00CD2B51"/>
    <w:rsid w:val="00CD557E"/>
    <w:rsid w:val="00CE2D44"/>
    <w:rsid w:val="00CE5D71"/>
    <w:rsid w:val="00CF6527"/>
    <w:rsid w:val="00D01670"/>
    <w:rsid w:val="00D046A7"/>
    <w:rsid w:val="00D11CC4"/>
    <w:rsid w:val="00D207BE"/>
    <w:rsid w:val="00D3008D"/>
    <w:rsid w:val="00D40D2A"/>
    <w:rsid w:val="00D43D46"/>
    <w:rsid w:val="00D4504A"/>
    <w:rsid w:val="00D538DB"/>
    <w:rsid w:val="00DA0946"/>
    <w:rsid w:val="00DA209B"/>
    <w:rsid w:val="00DA2F92"/>
    <w:rsid w:val="00DA3CCE"/>
    <w:rsid w:val="00DB5F81"/>
    <w:rsid w:val="00DC1679"/>
    <w:rsid w:val="00DC3A5E"/>
    <w:rsid w:val="00DC4B1D"/>
    <w:rsid w:val="00DD003D"/>
    <w:rsid w:val="00DD212E"/>
    <w:rsid w:val="00DD2904"/>
    <w:rsid w:val="00DF6F1D"/>
    <w:rsid w:val="00E11339"/>
    <w:rsid w:val="00E12D6F"/>
    <w:rsid w:val="00E14EF6"/>
    <w:rsid w:val="00E17C7F"/>
    <w:rsid w:val="00E2023D"/>
    <w:rsid w:val="00E23A04"/>
    <w:rsid w:val="00E338C1"/>
    <w:rsid w:val="00E36CC9"/>
    <w:rsid w:val="00E40E25"/>
    <w:rsid w:val="00E52A6C"/>
    <w:rsid w:val="00E52B0F"/>
    <w:rsid w:val="00E57545"/>
    <w:rsid w:val="00E6109A"/>
    <w:rsid w:val="00E630E4"/>
    <w:rsid w:val="00E6348C"/>
    <w:rsid w:val="00E63C50"/>
    <w:rsid w:val="00E65133"/>
    <w:rsid w:val="00E674A7"/>
    <w:rsid w:val="00E70848"/>
    <w:rsid w:val="00E76821"/>
    <w:rsid w:val="00E85A6B"/>
    <w:rsid w:val="00E85C0B"/>
    <w:rsid w:val="00E941BE"/>
    <w:rsid w:val="00E97171"/>
    <w:rsid w:val="00EA274B"/>
    <w:rsid w:val="00EA3617"/>
    <w:rsid w:val="00EB06AE"/>
    <w:rsid w:val="00EB7047"/>
    <w:rsid w:val="00EC207F"/>
    <w:rsid w:val="00EC24A9"/>
    <w:rsid w:val="00EC75C1"/>
    <w:rsid w:val="00ED11B6"/>
    <w:rsid w:val="00ED5ECE"/>
    <w:rsid w:val="00EE2B24"/>
    <w:rsid w:val="00EF5443"/>
    <w:rsid w:val="00EF5C3D"/>
    <w:rsid w:val="00EF6EA0"/>
    <w:rsid w:val="00F1442F"/>
    <w:rsid w:val="00F20F1E"/>
    <w:rsid w:val="00F22C4E"/>
    <w:rsid w:val="00F35563"/>
    <w:rsid w:val="00F35C8E"/>
    <w:rsid w:val="00F42208"/>
    <w:rsid w:val="00F63BB0"/>
    <w:rsid w:val="00F6763E"/>
    <w:rsid w:val="00F67816"/>
    <w:rsid w:val="00F722AD"/>
    <w:rsid w:val="00F77082"/>
    <w:rsid w:val="00F84CA0"/>
    <w:rsid w:val="00F85F6D"/>
    <w:rsid w:val="00F90086"/>
    <w:rsid w:val="00F90840"/>
    <w:rsid w:val="00F97FA9"/>
    <w:rsid w:val="00FD089B"/>
    <w:rsid w:val="00FE3FFB"/>
    <w:rsid w:val="00FF047D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2D90CA-C6FA-42D5-8ABD-FF81E4C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ヒラギノ角ゴ Pro W3" w:hAnsi="Century School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0" w:qFormat="1"/>
    <w:lsdException w:name="Colorful Grid" w:uiPriority="68" w:qFormat="1"/>
    <w:lsdException w:name="Light Shading Accent 1" w:uiPriority="69" w:qFormat="1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F6"/>
    <w:pPr>
      <w:spacing w:line="276" w:lineRule="auto"/>
    </w:pPr>
    <w:rPr>
      <w:color w:val="404040"/>
      <w:spacing w:val="40"/>
      <w:szCs w:val="22"/>
    </w:rPr>
  </w:style>
  <w:style w:type="paragraph" w:styleId="Heading1">
    <w:name w:val="heading 1"/>
    <w:basedOn w:val="Normal"/>
    <w:next w:val="Normal"/>
    <w:link w:val="Heading1Char"/>
    <w:qFormat/>
    <w:rsid w:val="00295378"/>
    <w:pPr>
      <w:spacing w:before="480" w:after="240" w:line="240" w:lineRule="auto"/>
      <w:outlineLvl w:val="0"/>
    </w:pPr>
    <w:rPr>
      <w:rFonts w:asciiTheme="minorHAnsi" w:hAnsiTheme="minorHAnsi"/>
      <w:b/>
      <w:color w:val="7272AE"/>
      <w:sz w:val="36"/>
      <w:szCs w:val="36"/>
      <w:lang w:val="hr-BA"/>
    </w:rPr>
  </w:style>
  <w:style w:type="paragraph" w:styleId="Heading2">
    <w:name w:val="heading 2"/>
    <w:basedOn w:val="Normal"/>
    <w:next w:val="Normal"/>
    <w:link w:val="Heading2Char"/>
    <w:qFormat/>
    <w:rsid w:val="000F13F6"/>
    <w:pPr>
      <w:keepNext/>
      <w:keepLines/>
      <w:spacing w:before="200"/>
      <w:outlineLvl w:val="1"/>
    </w:pPr>
    <w:rPr>
      <w:b/>
      <w:bCs/>
      <w:color w:val="8B6496"/>
      <w:spacing w:val="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50865"/>
    <w:pPr>
      <w:keepNext/>
      <w:keepLines/>
      <w:outlineLvl w:val="2"/>
    </w:pPr>
    <w:rPr>
      <w:rFonts w:asciiTheme="minorHAnsi" w:hAnsiTheme="minorHAnsi"/>
      <w:b/>
      <w:bCs/>
      <w:color w:val="auto"/>
      <w:spacing w:val="0"/>
      <w:sz w:val="24"/>
      <w:szCs w:val="24"/>
      <w:lang w:val="hr-BA"/>
    </w:rPr>
  </w:style>
  <w:style w:type="paragraph" w:styleId="Heading4">
    <w:name w:val="heading 4"/>
    <w:basedOn w:val="Normal"/>
    <w:next w:val="Normal"/>
    <w:link w:val="Heading4Char"/>
    <w:qFormat/>
    <w:rsid w:val="000F13F6"/>
    <w:pPr>
      <w:keepNext/>
      <w:keepLines/>
      <w:spacing w:before="200"/>
      <w:outlineLvl w:val="3"/>
    </w:pPr>
    <w:rPr>
      <w:b/>
      <w:bCs/>
      <w:i/>
      <w:iCs/>
      <w:color w:val="8B6496"/>
      <w:spacing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0F13F6"/>
    <w:pPr>
      <w:keepNext/>
      <w:keepLines/>
      <w:spacing w:before="200"/>
      <w:outlineLvl w:val="4"/>
    </w:pPr>
    <w:rPr>
      <w:color w:val="44314A"/>
      <w:spacing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0F13F6"/>
    <w:pPr>
      <w:keepNext/>
      <w:keepLines/>
      <w:spacing w:before="200"/>
      <w:outlineLvl w:val="5"/>
    </w:pPr>
    <w:rPr>
      <w:i/>
      <w:iCs/>
      <w:color w:val="44314A"/>
      <w:spacing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0F13F6"/>
    <w:pPr>
      <w:keepNext/>
      <w:keepLines/>
      <w:spacing w:before="200"/>
      <w:outlineLvl w:val="6"/>
    </w:pPr>
    <w:rPr>
      <w:i/>
      <w:iCs/>
      <w:spacing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0F13F6"/>
    <w:pPr>
      <w:keepNext/>
      <w:keepLines/>
      <w:spacing w:before="200"/>
      <w:outlineLvl w:val="7"/>
    </w:pPr>
    <w:rPr>
      <w:spacing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0F13F6"/>
    <w:pPr>
      <w:keepNext/>
      <w:keepLines/>
      <w:spacing w:before="200"/>
      <w:outlineLvl w:val="8"/>
    </w:pPr>
    <w:rPr>
      <w:i/>
      <w:iCs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5378"/>
    <w:rPr>
      <w:rFonts w:asciiTheme="minorHAnsi" w:hAnsiTheme="minorHAnsi"/>
      <w:b/>
      <w:color w:val="7272AE"/>
      <w:spacing w:val="40"/>
      <w:sz w:val="36"/>
      <w:szCs w:val="36"/>
      <w:lang w:val="hr-BA"/>
    </w:rPr>
  </w:style>
  <w:style w:type="paragraph" w:styleId="Subtitle">
    <w:name w:val="Subtitle"/>
    <w:basedOn w:val="Normal"/>
    <w:next w:val="Normal"/>
    <w:link w:val="SubtitleChar"/>
    <w:qFormat/>
    <w:rsid w:val="000F13F6"/>
    <w:pPr>
      <w:numPr>
        <w:ilvl w:val="1"/>
      </w:numPr>
      <w:spacing w:before="1440" w:line="240" w:lineRule="auto"/>
      <w:jc w:val="center"/>
    </w:pPr>
    <w:rPr>
      <w:iCs/>
      <w:caps/>
      <w:color w:val="A1A1C9"/>
      <w:spacing w:val="100"/>
      <w:sz w:val="36"/>
      <w:szCs w:val="36"/>
    </w:rPr>
  </w:style>
  <w:style w:type="character" w:customStyle="1" w:styleId="SubtitleChar">
    <w:name w:val="Subtitle Char"/>
    <w:link w:val="Subtitle"/>
    <w:rsid w:val="000F13F6"/>
    <w:rPr>
      <w:rFonts w:ascii="Century Schoolbook" w:eastAsia="ヒラギノ角ゴ Pro W3" w:hAnsi="Century Schoolbook" w:cs="Times New Roman"/>
      <w:iCs/>
      <w:caps/>
      <w:color w:val="A1A1C9"/>
      <w:spacing w:val="100"/>
      <w:sz w:val="36"/>
      <w:szCs w:val="36"/>
    </w:rPr>
  </w:style>
  <w:style w:type="paragraph" w:styleId="Header">
    <w:name w:val="header"/>
    <w:basedOn w:val="Normal"/>
    <w:link w:val="HeaderChar"/>
    <w:rsid w:val="000F13F6"/>
    <w:pPr>
      <w:spacing w:after="240"/>
    </w:pPr>
    <w:rPr>
      <w:color w:val="34345A"/>
      <w:spacing w:val="0"/>
      <w:sz w:val="24"/>
      <w:szCs w:val="20"/>
    </w:rPr>
  </w:style>
  <w:style w:type="character" w:customStyle="1" w:styleId="HeaderChar">
    <w:name w:val="Header Char"/>
    <w:link w:val="Header"/>
    <w:rsid w:val="000F13F6"/>
    <w:rPr>
      <w:color w:val="34345A"/>
      <w:sz w:val="24"/>
    </w:rPr>
  </w:style>
  <w:style w:type="paragraph" w:styleId="Title">
    <w:name w:val="Title"/>
    <w:basedOn w:val="Normal"/>
    <w:next w:val="Normal"/>
    <w:link w:val="TitleChar"/>
    <w:qFormat/>
    <w:rsid w:val="000F13F6"/>
    <w:pPr>
      <w:spacing w:before="480" w:after="480" w:line="240" w:lineRule="auto"/>
      <w:jc w:val="center"/>
    </w:pPr>
    <w:rPr>
      <w:color w:val="FFFFFF"/>
      <w:spacing w:val="20"/>
      <w:kern w:val="28"/>
      <w:sz w:val="96"/>
      <w:szCs w:val="100"/>
    </w:rPr>
  </w:style>
  <w:style w:type="character" w:customStyle="1" w:styleId="TitleChar">
    <w:name w:val="Title Char"/>
    <w:link w:val="Title"/>
    <w:rsid w:val="000F13F6"/>
    <w:rPr>
      <w:rFonts w:ascii="Century Schoolbook" w:eastAsia="ヒラギノ角ゴ Pro W3" w:hAnsi="Century Schoolbook" w:cs="Times New Roman"/>
      <w:color w:val="FFFFFF"/>
      <w:spacing w:val="20"/>
      <w:kern w:val="28"/>
      <w:sz w:val="96"/>
      <w:szCs w:val="100"/>
    </w:rPr>
  </w:style>
  <w:style w:type="paragraph" w:styleId="BodyText">
    <w:name w:val="Body Text"/>
    <w:basedOn w:val="Normal"/>
    <w:link w:val="BodyTextChar"/>
    <w:rsid w:val="000F13F6"/>
    <w:pPr>
      <w:spacing w:after="200"/>
    </w:pPr>
    <w:rPr>
      <w:spacing w:val="0"/>
      <w:szCs w:val="20"/>
    </w:rPr>
  </w:style>
  <w:style w:type="table" w:customStyle="1" w:styleId="FinancialTable">
    <w:name w:val="Financial Table"/>
    <w:basedOn w:val="TableNormal"/>
    <w:rsid w:val="000F13F6"/>
    <w:tblPr>
      <w:tblStyleRowBandSize w:val="1"/>
    </w:tblPr>
    <w:tblStylePr w:type="firstRow">
      <w:rPr>
        <w:color w:val="FFFFFF"/>
      </w:rPr>
      <w:tblPr/>
      <w:tcPr>
        <w:shd w:val="clear" w:color="auto" w:fill="7272AE"/>
      </w:tcPr>
    </w:tblStylePr>
    <w:tblStylePr w:type="lastRow">
      <w:rPr>
        <w:color w:val="FFFFFF"/>
      </w:rPr>
      <w:tblPr/>
      <w:tcPr>
        <w:shd w:val="clear" w:color="auto" w:fill="7272AE"/>
      </w:tcPr>
    </w:tblStylePr>
    <w:tblStylePr w:type="band2Horz">
      <w:tblPr/>
      <w:tcPr>
        <w:shd w:val="clear" w:color="auto" w:fill="D0D0E4"/>
      </w:tcPr>
    </w:tblStylePr>
  </w:style>
  <w:style w:type="paragraph" w:customStyle="1" w:styleId="TableText-Left">
    <w:name w:val="Table Text - Left"/>
    <w:basedOn w:val="Normal"/>
    <w:rsid w:val="000F13F6"/>
    <w:pPr>
      <w:spacing w:before="40" w:after="40"/>
    </w:pPr>
    <w:rPr>
      <w:color w:val="7272AE"/>
      <w:sz w:val="18"/>
      <w:szCs w:val="18"/>
    </w:rPr>
  </w:style>
  <w:style w:type="paragraph" w:customStyle="1" w:styleId="TableText-Decimal">
    <w:name w:val="Table Text - Decimal"/>
    <w:basedOn w:val="Normal"/>
    <w:rsid w:val="000F13F6"/>
    <w:pPr>
      <w:tabs>
        <w:tab w:val="decimal" w:pos="977"/>
      </w:tabs>
      <w:spacing w:before="40" w:after="40"/>
    </w:pPr>
    <w:rPr>
      <w:color w:val="7272AE"/>
      <w:sz w:val="18"/>
      <w:szCs w:val="18"/>
    </w:rPr>
  </w:style>
  <w:style w:type="paragraph" w:customStyle="1" w:styleId="TableText-Right">
    <w:name w:val="Table Text - Right"/>
    <w:basedOn w:val="Normal"/>
    <w:rsid w:val="000F13F6"/>
    <w:pPr>
      <w:spacing w:before="40" w:after="40"/>
      <w:jc w:val="right"/>
    </w:pPr>
    <w:rPr>
      <w:color w:val="7272AE"/>
      <w:sz w:val="18"/>
      <w:szCs w:val="18"/>
    </w:rPr>
  </w:style>
  <w:style w:type="paragraph" w:customStyle="1" w:styleId="TableHeading-Left">
    <w:name w:val="Table Heading - Left"/>
    <w:basedOn w:val="Normal"/>
    <w:rsid w:val="000F13F6"/>
    <w:pPr>
      <w:spacing w:before="40" w:after="40"/>
    </w:pPr>
    <w:rPr>
      <w:color w:val="FFFFFF"/>
      <w:sz w:val="18"/>
      <w:szCs w:val="18"/>
    </w:rPr>
  </w:style>
  <w:style w:type="paragraph" w:customStyle="1" w:styleId="TableHeading-Center">
    <w:name w:val="Table Heading - Center"/>
    <w:basedOn w:val="Normal"/>
    <w:rsid w:val="000F13F6"/>
    <w:pPr>
      <w:spacing w:before="40" w:after="40"/>
      <w:jc w:val="center"/>
    </w:pPr>
    <w:rPr>
      <w:color w:val="FFFFFF"/>
      <w:sz w:val="18"/>
      <w:szCs w:val="18"/>
    </w:rPr>
  </w:style>
  <w:style w:type="character" w:customStyle="1" w:styleId="BodyTextChar">
    <w:name w:val="Body Text Char"/>
    <w:link w:val="BodyText"/>
    <w:rsid w:val="000F13F6"/>
    <w:rPr>
      <w:color w:val="40404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0F13F6"/>
    <w:pPr>
      <w:spacing w:line="240" w:lineRule="auto"/>
    </w:pPr>
    <w:rPr>
      <w:rFonts w:ascii="Tahoma" w:hAnsi="Tahoma"/>
      <w:spacing w:val="0"/>
      <w:sz w:val="16"/>
      <w:szCs w:val="16"/>
    </w:rPr>
  </w:style>
  <w:style w:type="character" w:customStyle="1" w:styleId="BalloonTextChar">
    <w:name w:val="Balloon Text Char"/>
    <w:link w:val="BalloonText"/>
    <w:semiHidden/>
    <w:rsid w:val="000F13F6"/>
    <w:rPr>
      <w:rFonts w:ascii="Tahoma" w:hAnsi="Tahoma" w:cs="Tahoma"/>
      <w:color w:val="404040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0F13F6"/>
  </w:style>
  <w:style w:type="paragraph" w:styleId="BlockText">
    <w:name w:val="Block Text"/>
    <w:basedOn w:val="Normal"/>
    <w:semiHidden/>
    <w:unhideWhenUsed/>
    <w:rsid w:val="000F13F6"/>
    <w:pPr>
      <w:pBdr>
        <w:top w:val="single" w:sz="2" w:space="10" w:color="8B6496" w:shadow="1"/>
        <w:left w:val="single" w:sz="2" w:space="10" w:color="8B6496" w:shadow="1"/>
        <w:bottom w:val="single" w:sz="2" w:space="10" w:color="8B6496" w:shadow="1"/>
        <w:right w:val="single" w:sz="2" w:space="10" w:color="8B6496" w:shadow="1"/>
      </w:pBdr>
      <w:ind w:left="1152" w:right="1152"/>
    </w:pPr>
    <w:rPr>
      <w:i/>
      <w:iCs/>
      <w:color w:val="8B6496"/>
    </w:rPr>
  </w:style>
  <w:style w:type="paragraph" w:styleId="BodyText2">
    <w:name w:val="Body Text 2"/>
    <w:basedOn w:val="Normal"/>
    <w:link w:val="BodyText2Char"/>
    <w:semiHidden/>
    <w:unhideWhenUsed/>
    <w:rsid w:val="000F13F6"/>
    <w:pPr>
      <w:spacing w:after="120"/>
      <w:ind w:left="360"/>
    </w:pPr>
    <w:rPr>
      <w:spacing w:val="0"/>
      <w:szCs w:val="20"/>
    </w:rPr>
  </w:style>
  <w:style w:type="paragraph" w:styleId="BodyText3">
    <w:name w:val="Body Text 3"/>
    <w:basedOn w:val="Normal"/>
    <w:link w:val="BodyText3Char"/>
    <w:semiHidden/>
    <w:unhideWhenUsed/>
    <w:rsid w:val="000F13F6"/>
    <w:pPr>
      <w:spacing w:after="120"/>
    </w:pPr>
    <w:rPr>
      <w:spacing w:val="0"/>
      <w:sz w:val="16"/>
      <w:szCs w:val="16"/>
    </w:rPr>
  </w:style>
  <w:style w:type="character" w:customStyle="1" w:styleId="BodyText3Char">
    <w:name w:val="Body Text 3 Char"/>
    <w:link w:val="BodyText3"/>
    <w:semiHidden/>
    <w:rsid w:val="000F13F6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F13F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0F13F6"/>
    <w:rPr>
      <w:color w:val="404040"/>
      <w:sz w:val="20"/>
    </w:rPr>
  </w:style>
  <w:style w:type="character" w:customStyle="1" w:styleId="BodyText2Char">
    <w:name w:val="Body Text 2 Char"/>
    <w:link w:val="BodyText2"/>
    <w:semiHidden/>
    <w:rsid w:val="000F13F6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F13F6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0F13F6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F13F6"/>
    <w:pPr>
      <w:spacing w:after="120" w:line="480" w:lineRule="auto"/>
      <w:ind w:left="360"/>
    </w:pPr>
    <w:rPr>
      <w:spacing w:val="0"/>
      <w:szCs w:val="20"/>
    </w:rPr>
  </w:style>
  <w:style w:type="character" w:customStyle="1" w:styleId="BodyTextIndent2Char">
    <w:name w:val="Body Text Indent 2 Char"/>
    <w:link w:val="BodyTextIndent2"/>
    <w:semiHidden/>
    <w:rsid w:val="000F13F6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F13F6"/>
    <w:pPr>
      <w:spacing w:after="120"/>
      <w:ind w:left="360"/>
    </w:pPr>
    <w:rPr>
      <w:spacing w:val="0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0F13F6"/>
    <w:rPr>
      <w:color w:val="404040"/>
      <w:sz w:val="16"/>
      <w:szCs w:val="16"/>
    </w:rPr>
  </w:style>
  <w:style w:type="paragraph" w:styleId="Caption">
    <w:name w:val="caption"/>
    <w:basedOn w:val="Normal"/>
    <w:next w:val="Normal"/>
    <w:qFormat/>
    <w:rsid w:val="000F13F6"/>
    <w:pPr>
      <w:spacing w:after="200" w:line="240" w:lineRule="auto"/>
    </w:pPr>
    <w:rPr>
      <w:b/>
      <w:bCs/>
      <w:color w:val="8B6496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F13F6"/>
    <w:pPr>
      <w:spacing w:line="240" w:lineRule="auto"/>
      <w:ind w:left="4320"/>
    </w:pPr>
    <w:rPr>
      <w:spacing w:val="0"/>
      <w:szCs w:val="20"/>
    </w:rPr>
  </w:style>
  <w:style w:type="character" w:customStyle="1" w:styleId="ClosingChar">
    <w:name w:val="Closing Char"/>
    <w:link w:val="Closing"/>
    <w:semiHidden/>
    <w:rsid w:val="000F13F6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F13F6"/>
    <w:pPr>
      <w:spacing w:line="240" w:lineRule="auto"/>
    </w:pPr>
    <w:rPr>
      <w:spacing w:val="0"/>
      <w:szCs w:val="20"/>
    </w:rPr>
  </w:style>
  <w:style w:type="character" w:customStyle="1" w:styleId="CommentTextChar">
    <w:name w:val="Comment Text Char"/>
    <w:link w:val="CommentText"/>
    <w:semiHidden/>
    <w:rsid w:val="000F13F6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13F6"/>
    <w:rPr>
      <w:b/>
      <w:bCs/>
    </w:rPr>
  </w:style>
  <w:style w:type="character" w:customStyle="1" w:styleId="CommentSubjectChar">
    <w:name w:val="Comment Subject Char"/>
    <w:link w:val="CommentSubject"/>
    <w:semiHidden/>
    <w:rsid w:val="000F13F6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F13F6"/>
    <w:rPr>
      <w:spacing w:val="0"/>
      <w:szCs w:val="20"/>
    </w:rPr>
  </w:style>
  <w:style w:type="character" w:customStyle="1" w:styleId="DateChar">
    <w:name w:val="Date Char"/>
    <w:link w:val="Date"/>
    <w:semiHidden/>
    <w:rsid w:val="000F13F6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0F13F6"/>
    <w:pPr>
      <w:spacing w:line="240" w:lineRule="auto"/>
    </w:pPr>
    <w:rPr>
      <w:rFonts w:ascii="Tahoma" w:hAnsi="Tahoma"/>
      <w:spacing w:val="0"/>
      <w:sz w:val="16"/>
      <w:szCs w:val="16"/>
    </w:rPr>
  </w:style>
  <w:style w:type="character" w:customStyle="1" w:styleId="DocumentMapChar">
    <w:name w:val="Document Map Char"/>
    <w:link w:val="DocumentMap"/>
    <w:semiHidden/>
    <w:rsid w:val="000F13F6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F13F6"/>
    <w:pPr>
      <w:spacing w:line="240" w:lineRule="auto"/>
    </w:pPr>
    <w:rPr>
      <w:spacing w:val="0"/>
      <w:szCs w:val="20"/>
    </w:rPr>
  </w:style>
  <w:style w:type="character" w:customStyle="1" w:styleId="E-mailSignatureChar">
    <w:name w:val="E-mail Signature Char"/>
    <w:link w:val="E-mailSignature"/>
    <w:semiHidden/>
    <w:rsid w:val="000F13F6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0F13F6"/>
    <w:pPr>
      <w:spacing w:line="240" w:lineRule="auto"/>
    </w:pPr>
    <w:rPr>
      <w:spacing w:val="0"/>
      <w:szCs w:val="20"/>
    </w:rPr>
  </w:style>
  <w:style w:type="character" w:customStyle="1" w:styleId="EndnoteTextChar">
    <w:name w:val="Endnote Text Char"/>
    <w:link w:val="EndnoteText"/>
    <w:semiHidden/>
    <w:rsid w:val="000F13F6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0F13F6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0F13F6"/>
    <w:pPr>
      <w:spacing w:line="240" w:lineRule="auto"/>
    </w:pPr>
    <w:rPr>
      <w:szCs w:val="20"/>
    </w:rPr>
  </w:style>
  <w:style w:type="paragraph" w:styleId="Footer">
    <w:name w:val="footer"/>
    <w:basedOn w:val="Normal"/>
    <w:link w:val="FooterChar"/>
    <w:unhideWhenUsed/>
    <w:rsid w:val="000F13F6"/>
    <w:pPr>
      <w:tabs>
        <w:tab w:val="center" w:pos="4680"/>
        <w:tab w:val="right" w:pos="9360"/>
      </w:tabs>
      <w:spacing w:line="240" w:lineRule="auto"/>
    </w:pPr>
    <w:rPr>
      <w:spacing w:val="0"/>
      <w:szCs w:val="20"/>
    </w:rPr>
  </w:style>
  <w:style w:type="character" w:customStyle="1" w:styleId="FooterChar">
    <w:name w:val="Footer Char"/>
    <w:link w:val="Footer"/>
    <w:rsid w:val="000F13F6"/>
    <w:rPr>
      <w:color w:val="404040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F13F6"/>
    <w:pPr>
      <w:spacing w:line="240" w:lineRule="auto"/>
    </w:pPr>
    <w:rPr>
      <w:spacing w:val="0"/>
      <w:szCs w:val="20"/>
    </w:rPr>
  </w:style>
  <w:style w:type="character" w:customStyle="1" w:styleId="FootnoteTextChar">
    <w:name w:val="Footnote Text Char"/>
    <w:link w:val="FootnoteText"/>
    <w:uiPriority w:val="99"/>
    <w:rsid w:val="000F13F6"/>
    <w:rPr>
      <w:color w:val="404040"/>
      <w:sz w:val="20"/>
      <w:szCs w:val="20"/>
    </w:rPr>
  </w:style>
  <w:style w:type="character" w:customStyle="1" w:styleId="Heading2Char">
    <w:name w:val="Heading 2 Char"/>
    <w:link w:val="Heading2"/>
    <w:rsid w:val="000F13F6"/>
    <w:rPr>
      <w:rFonts w:ascii="Century Schoolbook" w:eastAsia="ヒラギノ角ゴ Pro W3" w:hAnsi="Century Schoolbook" w:cs="Times New Roman"/>
      <w:b/>
      <w:bCs/>
      <w:color w:val="8B6496"/>
      <w:sz w:val="26"/>
      <w:szCs w:val="26"/>
    </w:rPr>
  </w:style>
  <w:style w:type="character" w:customStyle="1" w:styleId="Heading3Char">
    <w:name w:val="Heading 3 Char"/>
    <w:link w:val="Heading3"/>
    <w:rsid w:val="00B50865"/>
    <w:rPr>
      <w:rFonts w:asciiTheme="minorHAnsi" w:hAnsiTheme="minorHAnsi"/>
      <w:b/>
      <w:bCs/>
      <w:sz w:val="24"/>
      <w:szCs w:val="24"/>
      <w:lang w:val="hr-BA"/>
    </w:rPr>
  </w:style>
  <w:style w:type="character" w:customStyle="1" w:styleId="Heading4Char">
    <w:name w:val="Heading 4 Char"/>
    <w:link w:val="Heading4"/>
    <w:semiHidden/>
    <w:rsid w:val="000F13F6"/>
    <w:rPr>
      <w:rFonts w:ascii="Century Schoolbook" w:eastAsia="ヒラギノ角ゴ Pro W3" w:hAnsi="Century Schoolbook" w:cs="Times New Roman"/>
      <w:b/>
      <w:bCs/>
      <w:i/>
      <w:iCs/>
      <w:color w:val="8B6496"/>
      <w:sz w:val="20"/>
    </w:rPr>
  </w:style>
  <w:style w:type="character" w:customStyle="1" w:styleId="Heading5Char">
    <w:name w:val="Heading 5 Char"/>
    <w:link w:val="Heading5"/>
    <w:semiHidden/>
    <w:rsid w:val="000F13F6"/>
    <w:rPr>
      <w:rFonts w:ascii="Century Schoolbook" w:eastAsia="ヒラギノ角ゴ Pro W3" w:hAnsi="Century Schoolbook" w:cs="Times New Roman"/>
      <w:color w:val="44314A"/>
      <w:sz w:val="20"/>
    </w:rPr>
  </w:style>
  <w:style w:type="character" w:customStyle="1" w:styleId="Heading6Char">
    <w:name w:val="Heading 6 Char"/>
    <w:link w:val="Heading6"/>
    <w:semiHidden/>
    <w:rsid w:val="000F13F6"/>
    <w:rPr>
      <w:rFonts w:ascii="Century Schoolbook" w:eastAsia="ヒラギノ角ゴ Pro W3" w:hAnsi="Century Schoolbook" w:cs="Times New Roman"/>
      <w:i/>
      <w:iCs/>
      <w:color w:val="44314A"/>
      <w:sz w:val="20"/>
    </w:rPr>
  </w:style>
  <w:style w:type="character" w:customStyle="1" w:styleId="Heading7Char">
    <w:name w:val="Heading 7 Char"/>
    <w:link w:val="Heading7"/>
    <w:semiHidden/>
    <w:rsid w:val="000F13F6"/>
    <w:rPr>
      <w:rFonts w:ascii="Century Schoolbook" w:eastAsia="ヒラギノ角ゴ Pro W3" w:hAnsi="Century Schoolbook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0F13F6"/>
    <w:rPr>
      <w:rFonts w:ascii="Century Schoolbook" w:eastAsia="ヒラギノ角ゴ Pro W3" w:hAnsi="Century Schoolbook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0F13F6"/>
    <w:rPr>
      <w:rFonts w:ascii="Century Schoolbook" w:eastAsia="ヒラギノ角ゴ Pro W3" w:hAnsi="Century Schoolbook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F13F6"/>
    <w:pPr>
      <w:spacing w:line="240" w:lineRule="auto"/>
    </w:pPr>
    <w:rPr>
      <w:i/>
      <w:iCs/>
      <w:spacing w:val="0"/>
      <w:szCs w:val="20"/>
    </w:rPr>
  </w:style>
  <w:style w:type="character" w:customStyle="1" w:styleId="HTMLAddressChar">
    <w:name w:val="HTML Address Char"/>
    <w:link w:val="HTMLAddress"/>
    <w:semiHidden/>
    <w:rsid w:val="000F13F6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F13F6"/>
    <w:pPr>
      <w:spacing w:line="240" w:lineRule="auto"/>
    </w:pPr>
    <w:rPr>
      <w:rFonts w:ascii="Consolas" w:hAnsi="Consolas"/>
      <w:spacing w:val="0"/>
      <w:szCs w:val="20"/>
    </w:rPr>
  </w:style>
  <w:style w:type="character" w:customStyle="1" w:styleId="HTMLPreformattedChar">
    <w:name w:val="HTML Preformatted Char"/>
    <w:link w:val="HTMLPreformatted"/>
    <w:semiHidden/>
    <w:rsid w:val="000F13F6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F13F6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F13F6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F13F6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F13F6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F13F6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F13F6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F13F6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F13F6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F13F6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F13F6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0F13F6"/>
    <w:pPr>
      <w:pBdr>
        <w:bottom w:val="single" w:sz="4" w:space="4" w:color="8B6496"/>
      </w:pBdr>
      <w:spacing w:before="200" w:after="280"/>
      <w:ind w:left="936" w:right="936"/>
    </w:pPr>
    <w:rPr>
      <w:b/>
      <w:bCs/>
      <w:i/>
      <w:iCs/>
      <w:color w:val="8B6496"/>
      <w:spacing w:val="0"/>
      <w:szCs w:val="20"/>
    </w:rPr>
  </w:style>
  <w:style w:type="character" w:customStyle="1" w:styleId="LightShading-Accent2Char">
    <w:name w:val="Light Shading - Accent 2 Char"/>
    <w:link w:val="LightShading-Accent21"/>
    <w:rsid w:val="000F13F6"/>
    <w:rPr>
      <w:b/>
      <w:bCs/>
      <w:i/>
      <w:iCs/>
      <w:color w:val="8B6496"/>
      <w:sz w:val="20"/>
    </w:rPr>
  </w:style>
  <w:style w:type="paragraph" w:styleId="List">
    <w:name w:val="List"/>
    <w:basedOn w:val="Normal"/>
    <w:semiHidden/>
    <w:unhideWhenUsed/>
    <w:rsid w:val="000F13F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F13F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F13F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F13F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F13F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0F13F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0F13F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F13F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F13F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F13F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F13F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F13F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F13F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F13F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F13F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F13F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F13F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F13F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F13F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F13F6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0F13F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F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semiHidden/>
    <w:rsid w:val="000F13F6"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0F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pacing w:val="0"/>
      <w:sz w:val="24"/>
      <w:szCs w:val="24"/>
    </w:rPr>
  </w:style>
  <w:style w:type="character" w:customStyle="1" w:styleId="MessageHeaderChar">
    <w:name w:val="Message Header Char"/>
    <w:link w:val="MessageHeader"/>
    <w:semiHidden/>
    <w:rsid w:val="000F13F6"/>
    <w:rPr>
      <w:rFonts w:ascii="Century Schoolbook" w:eastAsia="ヒラギノ角ゴ Pro W3" w:hAnsi="Century Schoolbook" w:cs="Times New Roman"/>
      <w:color w:val="404040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0F13F6"/>
    <w:rPr>
      <w:color w:val="404040"/>
      <w:szCs w:val="22"/>
    </w:rPr>
  </w:style>
  <w:style w:type="paragraph" w:styleId="NormalWeb">
    <w:name w:val="Normal (Web)"/>
    <w:basedOn w:val="Normal"/>
    <w:uiPriority w:val="99"/>
    <w:unhideWhenUsed/>
    <w:rsid w:val="000F13F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F13F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F13F6"/>
    <w:pPr>
      <w:spacing w:line="240" w:lineRule="auto"/>
    </w:pPr>
    <w:rPr>
      <w:spacing w:val="0"/>
      <w:szCs w:val="20"/>
    </w:rPr>
  </w:style>
  <w:style w:type="character" w:customStyle="1" w:styleId="NoteHeadingChar">
    <w:name w:val="Note Heading Char"/>
    <w:link w:val="NoteHeading"/>
    <w:semiHidden/>
    <w:rsid w:val="000F13F6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0F13F6"/>
    <w:pPr>
      <w:spacing w:line="240" w:lineRule="auto"/>
    </w:pPr>
    <w:rPr>
      <w:rFonts w:ascii="Consolas" w:hAnsi="Consolas"/>
      <w:spacing w:val="0"/>
      <w:sz w:val="21"/>
      <w:szCs w:val="21"/>
    </w:rPr>
  </w:style>
  <w:style w:type="character" w:customStyle="1" w:styleId="PlainTextChar">
    <w:name w:val="Plain Text Char"/>
    <w:link w:val="PlainText"/>
    <w:semiHidden/>
    <w:rsid w:val="000F13F6"/>
    <w:rPr>
      <w:rFonts w:ascii="Consolas" w:hAnsi="Consolas"/>
      <w:color w:val="404040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0F13F6"/>
    <w:rPr>
      <w:i/>
      <w:iCs/>
      <w:color w:val="000000"/>
      <w:spacing w:val="0"/>
      <w:szCs w:val="20"/>
    </w:rPr>
  </w:style>
  <w:style w:type="character" w:customStyle="1" w:styleId="ColorfulGrid-Accent1Char">
    <w:name w:val="Colorful Grid - Accent 1 Char"/>
    <w:link w:val="ColorfulGrid-Accent11"/>
    <w:rsid w:val="000F13F6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F13F6"/>
    <w:rPr>
      <w:spacing w:val="0"/>
      <w:szCs w:val="20"/>
    </w:rPr>
  </w:style>
  <w:style w:type="character" w:customStyle="1" w:styleId="SalutationChar">
    <w:name w:val="Salutation Char"/>
    <w:link w:val="Salutation"/>
    <w:semiHidden/>
    <w:rsid w:val="000F13F6"/>
    <w:rPr>
      <w:color w:val="404040"/>
      <w:sz w:val="20"/>
    </w:rPr>
  </w:style>
  <w:style w:type="paragraph" w:styleId="Signature">
    <w:name w:val="Signature"/>
    <w:basedOn w:val="Normal"/>
    <w:link w:val="SignatureChar"/>
    <w:semiHidden/>
    <w:unhideWhenUsed/>
    <w:rsid w:val="000F13F6"/>
    <w:pPr>
      <w:spacing w:line="240" w:lineRule="auto"/>
      <w:ind w:left="4320"/>
    </w:pPr>
    <w:rPr>
      <w:spacing w:val="0"/>
      <w:szCs w:val="20"/>
    </w:rPr>
  </w:style>
  <w:style w:type="character" w:customStyle="1" w:styleId="SignatureChar">
    <w:name w:val="Signature Char"/>
    <w:link w:val="Signature"/>
    <w:semiHidden/>
    <w:rsid w:val="000F13F6"/>
    <w:rPr>
      <w:color w:val="404040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0F13F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F13F6"/>
  </w:style>
  <w:style w:type="paragraph" w:styleId="TOAHeading">
    <w:name w:val="toa heading"/>
    <w:basedOn w:val="Normal"/>
    <w:next w:val="Normal"/>
    <w:semiHidden/>
    <w:unhideWhenUsed/>
    <w:rsid w:val="000F13F6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F13F6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11230"/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F13F6"/>
    <w:pPr>
      <w:ind w:left="200"/>
    </w:pPr>
    <w:rPr>
      <w:rFonts w:asciiTheme="minorHAnsi" w:hAnsiTheme="minorHAnsi"/>
      <w:i/>
      <w:sz w:val="22"/>
    </w:rPr>
  </w:style>
  <w:style w:type="paragraph" w:styleId="TOC4">
    <w:name w:val="toc 4"/>
    <w:basedOn w:val="Normal"/>
    <w:next w:val="Normal"/>
    <w:autoRedefine/>
    <w:unhideWhenUsed/>
    <w:rsid w:val="000F13F6"/>
    <w:pPr>
      <w:pBdr>
        <w:between w:val="double" w:sz="6" w:space="0" w:color="auto"/>
      </w:pBdr>
      <w:ind w:left="4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nhideWhenUsed/>
    <w:rsid w:val="000F13F6"/>
    <w:pPr>
      <w:pBdr>
        <w:between w:val="double" w:sz="6" w:space="0" w:color="auto"/>
      </w:pBdr>
      <w:ind w:left="6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nhideWhenUsed/>
    <w:rsid w:val="000F13F6"/>
    <w:pPr>
      <w:pBdr>
        <w:between w:val="double" w:sz="6" w:space="0" w:color="auto"/>
      </w:pBdr>
      <w:ind w:left="8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nhideWhenUsed/>
    <w:rsid w:val="000F13F6"/>
    <w:pPr>
      <w:pBdr>
        <w:between w:val="double" w:sz="6" w:space="0" w:color="auto"/>
      </w:pBdr>
      <w:ind w:left="10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nhideWhenUsed/>
    <w:rsid w:val="000F13F6"/>
    <w:pPr>
      <w:pBdr>
        <w:between w:val="double" w:sz="6" w:space="0" w:color="auto"/>
      </w:pBdr>
      <w:ind w:left="12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nhideWhenUsed/>
    <w:rsid w:val="000F13F6"/>
    <w:pPr>
      <w:pBdr>
        <w:between w:val="double" w:sz="6" w:space="0" w:color="auto"/>
      </w:pBdr>
      <w:ind w:left="1400"/>
    </w:pPr>
    <w:rPr>
      <w:rFonts w:asciiTheme="minorHAnsi" w:hAnsiTheme="minorHAnsi"/>
      <w:szCs w:val="20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0F13F6"/>
    <w:pPr>
      <w:spacing w:after="0" w:line="300" w:lineRule="auto"/>
      <w:outlineLvl w:val="9"/>
    </w:pPr>
    <w:rPr>
      <w:b w:val="0"/>
      <w:color w:val="674A70"/>
      <w:sz w:val="28"/>
      <w:szCs w:val="28"/>
    </w:rPr>
  </w:style>
  <w:style w:type="table" w:styleId="TableGrid">
    <w:name w:val="Table Grid"/>
    <w:basedOn w:val="TableNormal"/>
    <w:uiPriority w:val="59"/>
    <w:rsid w:val="000F1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actDetails">
    <w:name w:val="Contact Details"/>
    <w:basedOn w:val="Normal"/>
    <w:rsid w:val="000F13F6"/>
    <w:pPr>
      <w:spacing w:after="480" w:line="324" w:lineRule="auto"/>
      <w:jc w:val="center"/>
    </w:pPr>
    <w:rPr>
      <w:color w:val="A1A1C9"/>
      <w:spacing w:val="0"/>
      <w:sz w:val="18"/>
      <w:szCs w:val="18"/>
    </w:rPr>
  </w:style>
  <w:style w:type="character" w:customStyle="1" w:styleId="MediumGrid11">
    <w:name w:val="Medium Grid 11"/>
    <w:semiHidden/>
    <w:rsid w:val="000F13F6"/>
    <w:rPr>
      <w:color w:val="808080"/>
    </w:rPr>
  </w:style>
  <w:style w:type="table" w:styleId="LightGrid-Accent2">
    <w:name w:val="Light Grid Accent 2"/>
    <w:basedOn w:val="TableNormal"/>
    <w:uiPriority w:val="67"/>
    <w:rsid w:val="00E52A6C"/>
    <w:tblPr>
      <w:tblStyleRowBandSize w:val="1"/>
      <w:tblStyleColBandSize w:val="1"/>
      <w:tblBorders>
        <w:top w:val="single" w:sz="8" w:space="0" w:color="A88AB1"/>
        <w:left w:val="single" w:sz="8" w:space="0" w:color="A88AB1"/>
        <w:bottom w:val="single" w:sz="8" w:space="0" w:color="A88AB1"/>
        <w:right w:val="single" w:sz="8" w:space="0" w:color="A88AB1"/>
        <w:insideH w:val="single" w:sz="8" w:space="0" w:color="A88AB1"/>
        <w:insideV w:val="single" w:sz="8" w:space="0" w:color="A88AB1"/>
      </w:tblBorders>
    </w:tblPr>
    <w:tcPr>
      <w:shd w:val="clear" w:color="auto" w:fill="E2D8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8AB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1CB"/>
      </w:tcPr>
    </w:tblStylePr>
    <w:tblStylePr w:type="band1Horz">
      <w:tblPr/>
      <w:tcPr>
        <w:shd w:val="clear" w:color="auto" w:fill="C5B1CB"/>
      </w:tcPr>
    </w:tblStylePr>
  </w:style>
  <w:style w:type="table" w:styleId="LightGrid-Accent3">
    <w:name w:val="Light Grid Accent 3"/>
    <w:basedOn w:val="TableNormal"/>
    <w:uiPriority w:val="67"/>
    <w:rsid w:val="008D60BD"/>
    <w:tblPr>
      <w:tblStyleRowBandSize w:val="1"/>
      <w:tblStyleColBandSize w:val="1"/>
      <w:tblBorders>
        <w:top w:val="single" w:sz="8" w:space="0" w:color="9696C2"/>
        <w:left w:val="single" w:sz="8" w:space="0" w:color="9696C2"/>
        <w:bottom w:val="single" w:sz="8" w:space="0" w:color="9696C2"/>
        <w:right w:val="single" w:sz="8" w:space="0" w:color="9696C2"/>
        <w:insideH w:val="single" w:sz="8" w:space="0" w:color="9696C2"/>
        <w:insideV w:val="single" w:sz="8" w:space="0" w:color="9696C2"/>
      </w:tblBorders>
    </w:tblPr>
    <w:tcPr>
      <w:shd w:val="clear" w:color="auto" w:fill="DCDC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D6"/>
      </w:tcPr>
    </w:tblStylePr>
    <w:tblStylePr w:type="band1Horz">
      <w:tblPr/>
      <w:tcPr>
        <w:shd w:val="clear" w:color="auto" w:fill="B9B9D6"/>
      </w:tcPr>
    </w:tblStylePr>
  </w:style>
  <w:style w:type="character" w:styleId="FootnoteReference">
    <w:name w:val="footnote reference"/>
    <w:uiPriority w:val="99"/>
    <w:unhideWhenUsed/>
    <w:rsid w:val="0006549E"/>
    <w:rPr>
      <w:vertAlign w:val="superscript"/>
    </w:rPr>
  </w:style>
  <w:style w:type="table" w:styleId="MediumShading1-Accent2">
    <w:name w:val="Medium Shading 1 Accent 2"/>
    <w:basedOn w:val="TableNormal"/>
    <w:uiPriority w:val="68"/>
    <w:rsid w:val="0080275E"/>
    <w:rPr>
      <w:color w:val="000000"/>
    </w:rPr>
    <w:tblPr>
      <w:tblStyleRowBandSize w:val="1"/>
      <w:tblStyleColBandSize w:val="1"/>
      <w:tblBorders>
        <w:top w:val="single" w:sz="8" w:space="0" w:color="8B6496"/>
        <w:left w:val="single" w:sz="8" w:space="0" w:color="8B6496"/>
        <w:bottom w:val="single" w:sz="8" w:space="0" w:color="8B6496"/>
        <w:right w:val="single" w:sz="8" w:space="0" w:color="8B6496"/>
        <w:insideH w:val="single" w:sz="8" w:space="0" w:color="8B6496"/>
        <w:insideV w:val="single" w:sz="8" w:space="0" w:color="8B6496"/>
      </w:tblBorders>
    </w:tblPr>
    <w:tcPr>
      <w:shd w:val="clear" w:color="auto" w:fill="E2D8E5"/>
    </w:tcPr>
    <w:tblStylePr w:type="firstRow">
      <w:rPr>
        <w:b/>
        <w:bCs/>
        <w:color w:val="000000"/>
      </w:rPr>
      <w:tblPr/>
      <w:tcPr>
        <w:shd w:val="clear" w:color="auto" w:fill="F3EF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EA"/>
      </w:tcPr>
    </w:tblStylePr>
    <w:tblStylePr w:type="band1Vert">
      <w:tblPr/>
      <w:tcPr>
        <w:shd w:val="clear" w:color="auto" w:fill="C5B1CB"/>
      </w:tcPr>
    </w:tblStylePr>
    <w:tblStylePr w:type="band1Horz">
      <w:tblPr/>
      <w:tcPr>
        <w:tcBorders>
          <w:insideH w:val="single" w:sz="6" w:space="0" w:color="8B6496"/>
          <w:insideV w:val="single" w:sz="6" w:space="0" w:color="8B6496"/>
        </w:tcBorders>
        <w:shd w:val="clear" w:color="auto" w:fill="C5B1CB"/>
      </w:tcPr>
    </w:tblStylePr>
    <w:tblStylePr w:type="nwCell">
      <w:tblPr/>
      <w:tcPr>
        <w:shd w:val="clear" w:color="auto" w:fill="FFFFFF"/>
      </w:tcPr>
    </w:tblStylePr>
  </w:style>
  <w:style w:type="table" w:styleId="LightList-Accent2">
    <w:name w:val="Light List Accent 2"/>
    <w:basedOn w:val="TableNormal"/>
    <w:uiPriority w:val="66"/>
    <w:rsid w:val="0080275E"/>
    <w:rPr>
      <w:color w:val="000000"/>
    </w:rPr>
    <w:tblPr>
      <w:tblStyleRowBandSize w:val="1"/>
      <w:tblStyleColBandSize w:val="1"/>
      <w:tblBorders>
        <w:top w:val="single" w:sz="8" w:space="0" w:color="8B6496"/>
        <w:left w:val="single" w:sz="8" w:space="0" w:color="8B6496"/>
        <w:bottom w:val="single" w:sz="8" w:space="0" w:color="8B6496"/>
        <w:right w:val="single" w:sz="8" w:space="0" w:color="8B64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649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B649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649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B649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80275E"/>
    <w:tblPr>
      <w:tblStyleRowBandSize w:val="1"/>
      <w:tblStyleColBandSize w:val="1"/>
      <w:tblBorders>
        <w:top w:val="single" w:sz="8" w:space="0" w:color="8B6496"/>
        <w:left w:val="single" w:sz="8" w:space="0" w:color="8B6496"/>
        <w:bottom w:val="single" w:sz="8" w:space="0" w:color="8B6496"/>
        <w:right w:val="single" w:sz="8" w:space="0" w:color="8B6496"/>
        <w:insideH w:val="single" w:sz="8" w:space="0" w:color="8B6496"/>
        <w:insideV w:val="single" w:sz="8" w:space="0" w:color="8B6496"/>
      </w:tblBorders>
    </w:tblPr>
    <w:tblStylePr w:type="firstRow">
      <w:pPr>
        <w:spacing w:before="0" w:after="0" w:line="240" w:lineRule="auto"/>
      </w:pPr>
      <w:rPr>
        <w:rFonts w:ascii="Cambria" w:eastAsia="Cambria" w:hAnsi="Cambria" w:cs="Times New Roman"/>
        <w:b/>
        <w:bCs/>
      </w:rPr>
      <w:tblPr/>
      <w:tcPr>
        <w:tcBorders>
          <w:top w:val="single" w:sz="8" w:space="0" w:color="8B6496"/>
          <w:left w:val="single" w:sz="8" w:space="0" w:color="8B6496"/>
          <w:bottom w:val="single" w:sz="18" w:space="0" w:color="8B6496"/>
          <w:right w:val="single" w:sz="8" w:space="0" w:color="8B6496"/>
          <w:insideH w:val="nil"/>
          <w:insideV w:val="single" w:sz="8" w:space="0" w:color="8B649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Times New Roman"/>
        <w:b/>
        <w:bCs/>
      </w:rPr>
      <w:tblPr/>
      <w:tcPr>
        <w:tcBorders>
          <w:top w:val="double" w:sz="6" w:space="0" w:color="8B6496"/>
          <w:left w:val="single" w:sz="8" w:space="0" w:color="8B6496"/>
          <w:bottom w:val="single" w:sz="8" w:space="0" w:color="8B6496"/>
          <w:right w:val="single" w:sz="8" w:space="0" w:color="8B6496"/>
          <w:insideH w:val="nil"/>
          <w:insideV w:val="single" w:sz="8" w:space="0" w:color="8B6496"/>
        </w:tcBorders>
      </w:tcPr>
    </w:tblStylePr>
    <w:tblStylePr w:type="firstCol">
      <w:rPr>
        <w:rFonts w:ascii="Cambria" w:eastAsia="Cambria" w:hAnsi="Cambria" w:cs="Times New Roman"/>
        <w:b/>
        <w:bCs/>
      </w:rPr>
    </w:tblStylePr>
    <w:tblStylePr w:type="lastCol">
      <w:rPr>
        <w:rFonts w:ascii="Cambria" w:eastAsia="Cambria" w:hAnsi="Cambria" w:cs="Times New Roman"/>
        <w:b/>
        <w:bCs/>
      </w:rPr>
      <w:tblPr/>
      <w:tcPr>
        <w:tcBorders>
          <w:top w:val="single" w:sz="8" w:space="0" w:color="8B6496"/>
          <w:left w:val="single" w:sz="8" w:space="0" w:color="8B6496"/>
          <w:bottom w:val="single" w:sz="8" w:space="0" w:color="8B6496"/>
          <w:right w:val="single" w:sz="8" w:space="0" w:color="8B6496"/>
        </w:tcBorders>
      </w:tcPr>
    </w:tblStylePr>
    <w:tblStylePr w:type="band1Vert">
      <w:tblPr/>
      <w:tcPr>
        <w:tcBorders>
          <w:top w:val="single" w:sz="8" w:space="0" w:color="8B6496"/>
          <w:left w:val="single" w:sz="8" w:space="0" w:color="8B6496"/>
          <w:bottom w:val="single" w:sz="8" w:space="0" w:color="8B6496"/>
          <w:right w:val="single" w:sz="8" w:space="0" w:color="8B6496"/>
        </w:tcBorders>
        <w:shd w:val="clear" w:color="auto" w:fill="E2D8E5"/>
      </w:tcPr>
    </w:tblStylePr>
    <w:tblStylePr w:type="band1Horz">
      <w:tblPr/>
      <w:tcPr>
        <w:tcBorders>
          <w:top w:val="single" w:sz="8" w:space="0" w:color="8B6496"/>
          <w:left w:val="single" w:sz="8" w:space="0" w:color="8B6496"/>
          <w:bottom w:val="single" w:sz="8" w:space="0" w:color="8B6496"/>
          <w:right w:val="single" w:sz="8" w:space="0" w:color="8B6496"/>
          <w:insideV w:val="single" w:sz="8" w:space="0" w:color="8B6496"/>
        </w:tcBorders>
        <w:shd w:val="clear" w:color="auto" w:fill="E2D8E5"/>
      </w:tcPr>
    </w:tblStylePr>
    <w:tblStylePr w:type="band2Horz">
      <w:tblPr/>
      <w:tcPr>
        <w:tcBorders>
          <w:top w:val="single" w:sz="8" w:space="0" w:color="8B6496"/>
          <w:left w:val="single" w:sz="8" w:space="0" w:color="8B6496"/>
          <w:bottom w:val="single" w:sz="8" w:space="0" w:color="8B6496"/>
          <w:right w:val="single" w:sz="8" w:space="0" w:color="8B6496"/>
          <w:insideV w:val="single" w:sz="8" w:space="0" w:color="8B6496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A53C1"/>
  </w:style>
  <w:style w:type="table" w:styleId="LightList-Accent5">
    <w:name w:val="Light List Accent 5"/>
    <w:basedOn w:val="TableNormal"/>
    <w:uiPriority w:val="66"/>
    <w:rsid w:val="00421E2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62"/>
    <w:rsid w:val="008E369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2-Accent5">
    <w:name w:val="Medium Shading 2 Accent 5"/>
    <w:basedOn w:val="TableNormal"/>
    <w:uiPriority w:val="69"/>
    <w:rsid w:val="00DF6F1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9"/>
    <w:rsid w:val="00DF6F1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Grid-Accent5">
    <w:name w:val="Light Grid Accent 5"/>
    <w:basedOn w:val="TableNormal"/>
    <w:uiPriority w:val="67"/>
    <w:rsid w:val="009C7B1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CommentReference">
    <w:name w:val="annotation reference"/>
    <w:uiPriority w:val="99"/>
    <w:semiHidden/>
    <w:unhideWhenUsed/>
    <w:rsid w:val="003C2D49"/>
    <w:rPr>
      <w:sz w:val="16"/>
      <w:szCs w:val="16"/>
    </w:rPr>
  </w:style>
  <w:style w:type="character" w:styleId="Hyperlink">
    <w:name w:val="Hyperlink"/>
    <w:uiPriority w:val="99"/>
    <w:unhideWhenUsed/>
    <w:rsid w:val="007559DD"/>
    <w:rPr>
      <w:color w:val="0000FF"/>
      <w:u w:val="single"/>
    </w:rPr>
  </w:style>
  <w:style w:type="table" w:styleId="MediumList2-Accent6">
    <w:name w:val="Medium List 2 Accent 6"/>
    <w:basedOn w:val="TableNormal"/>
    <w:uiPriority w:val="21"/>
    <w:qFormat/>
    <w:rsid w:val="00253B1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5">
    <w:name w:val="Colorful Shading Accent 5"/>
    <w:basedOn w:val="TableNormal"/>
    <w:uiPriority w:val="21"/>
    <w:qFormat/>
    <w:rsid w:val="00253B1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5">
    <w:name w:val="Dark List Accent 5"/>
    <w:basedOn w:val="TableNormal"/>
    <w:uiPriority w:val="19"/>
    <w:qFormat/>
    <w:rsid w:val="00253B1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ghtGrid-Accent4">
    <w:name w:val="Light Grid Accent 4"/>
    <w:basedOn w:val="TableNormal"/>
    <w:uiPriority w:val="61"/>
    <w:rsid w:val="00253B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2-Accent1">
    <w:name w:val="Medium Grid 2 Accent 1"/>
    <w:basedOn w:val="TableNormal"/>
    <w:uiPriority w:val="67"/>
    <w:rsid w:val="00AC7D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62"/>
    <w:rsid w:val="004D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chart" Target="charts/chart5.xml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5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diagramData" Target="diagrams/data2.xml"/><Relationship Id="rId28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chart" Target="charts/chart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microsoft.com/office/2007/relationships/diagramDrawing" Target="diagrams/drawing2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rmi\Desktop\DELL\Transparency\Grafikoni%20Monitoring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amrasuskic-basic:Documents:USAID%20JSDP%20Implementation:POAP%20Implementation%202016:Kolegij%20tu&#382;ila&#353;tava%202019:Januar%202019:Workbook3%20FBiH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rmi\Desktop\DELL\Transparency\Grafikoni%20Monitoring%2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amrasuskic-basic:Documents:USAID%20JSDP%20Implementation:POAP%20Implementation%202016:Kolegij%20tu&#382;ila&#353;tava%202019:Januar%202019:Workbook3%20FBiH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rmi\Desktop\DELL\Transparency\Grafikoni%20Monitoring%20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rmi\Desktop\DELL\Transparency\Grafikoni%20Monitoring%20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rmi\Desktop\DELL\Transparency\Grafikoni%20Monitoring%20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rmi\Desktop\DELL\Transparency\Grafikoni%20Monitoring%20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ermi\Desktop\DELL\Transparency\Grafikoni%20Monitoring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overlay val="0"/>
      <c:txPr>
        <a:bodyPr/>
        <a:lstStyle/>
        <a:p>
          <a:pPr algn="ctr">
            <a:defRPr/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Sheet3!$B$83</c:f>
              <c:strCache>
                <c:ptCount val="1"/>
                <c:pt idx="0">
                  <c:v>Broj starih KT predmeta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Sheet3!$C$82:$D$82</c:f>
              <c:strCache>
                <c:ptCount val="2"/>
                <c:pt idx="0">
                  <c:v>31.12.2017</c:v>
                </c:pt>
                <c:pt idx="1">
                  <c:v>31.12.2018</c:v>
                </c:pt>
              </c:strCache>
            </c:strRef>
          </c:cat>
          <c:val>
            <c:numRef>
              <c:f>Sheet3!$C$83:$D$83</c:f>
              <c:numCache>
                <c:formatCode>General</c:formatCode>
                <c:ptCount val="2"/>
                <c:pt idx="0">
                  <c:v>1819</c:v>
                </c:pt>
                <c:pt idx="1">
                  <c:v>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7-41D1-9C85-E94FC9E7F3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3522944"/>
        <c:axId val="387339008"/>
      </c:barChart>
      <c:catAx>
        <c:axId val="41352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7339008"/>
        <c:crosses val="autoZero"/>
        <c:auto val="1"/>
        <c:lblAlgn val="ctr"/>
        <c:lblOffset val="100"/>
        <c:noMultiLvlLbl val="0"/>
      </c:catAx>
      <c:valAx>
        <c:axId val="387339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35229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Broj starih neriješenih KT predmeta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Sheet3!$B$2:$D$2</c:f>
              <c:numCache>
                <c:formatCode>#,##0</c:formatCode>
                <c:ptCount val="3"/>
                <c:pt idx="0">
                  <c:v>2213</c:v>
                </c:pt>
                <c:pt idx="1">
                  <c:v>1819</c:v>
                </c:pt>
                <c:pt idx="2">
                  <c:v>1495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E-40D8-801B-00A6EA741A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7356544"/>
        <c:axId val="387358080"/>
      </c:barChart>
      <c:catAx>
        <c:axId val="38735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7358080"/>
        <c:crosses val="autoZero"/>
        <c:auto val="1"/>
        <c:lblAlgn val="ctr"/>
        <c:lblOffset val="100"/>
        <c:noMultiLvlLbl val="0"/>
      </c:catAx>
      <c:valAx>
        <c:axId val="3873580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87356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Sheet3!$H$105</c:f>
              <c:strCache>
                <c:ptCount val="1"/>
                <c:pt idx="0">
                  <c:v>Broj starih KTA predmeta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Sheet3!$I$104:$J$104</c:f>
              <c:strCache>
                <c:ptCount val="2"/>
                <c:pt idx="0">
                  <c:v>31.12.2017</c:v>
                </c:pt>
                <c:pt idx="1">
                  <c:v>31.12.2018</c:v>
                </c:pt>
              </c:strCache>
            </c:strRef>
          </c:cat>
          <c:val>
            <c:numRef>
              <c:f>Sheet3!$I$105:$J$105</c:f>
              <c:numCache>
                <c:formatCode>General</c:formatCode>
                <c:ptCount val="2"/>
                <c:pt idx="0">
                  <c:v>1116</c:v>
                </c:pt>
                <c:pt idx="1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96-49E0-A435-1B56FFB4B1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365888"/>
        <c:axId val="387367680"/>
      </c:barChart>
      <c:catAx>
        <c:axId val="387365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7367680"/>
        <c:crosses val="autoZero"/>
        <c:auto val="1"/>
        <c:lblAlgn val="ctr"/>
        <c:lblOffset val="100"/>
        <c:noMultiLvlLbl val="0"/>
      </c:catAx>
      <c:valAx>
        <c:axId val="387367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873658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'Sheet3 (2)'!$A$2</c:f>
              <c:strCache>
                <c:ptCount val="1"/>
                <c:pt idx="0">
                  <c:v>Broj starih neriješenih KT predmeta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'Sheet3 (2)'!$B$1:$D$1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'Sheet3 (2)'!$B$2:$D$2</c:f>
              <c:numCache>
                <c:formatCode>#,##0</c:formatCode>
                <c:ptCount val="3"/>
                <c:pt idx="0">
                  <c:v>1438</c:v>
                </c:pt>
                <c:pt idx="1">
                  <c:v>1116</c:v>
                </c:pt>
                <c:pt idx="2">
                  <c:v>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B2-490D-9BBF-23BF03CB28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7389312"/>
        <c:axId val="387390848"/>
      </c:barChart>
      <c:catAx>
        <c:axId val="38738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7390848"/>
        <c:crosses val="autoZero"/>
        <c:auto val="1"/>
        <c:lblAlgn val="ctr"/>
        <c:lblOffset val="100"/>
        <c:noMultiLvlLbl val="0"/>
      </c:catAx>
      <c:valAx>
        <c:axId val="3873908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8738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Sheet3!$I$121</c:f>
              <c:strCache>
                <c:ptCount val="1"/>
                <c:pt idx="0">
                  <c:v>Prosječna dužina trajanja predmera u FBiH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Sheet3!$J$120:$L$120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Sheet3!$J$121:$L$121</c:f>
              <c:numCache>
                <c:formatCode>General</c:formatCode>
                <c:ptCount val="3"/>
                <c:pt idx="0">
                  <c:v>313</c:v>
                </c:pt>
                <c:pt idx="1">
                  <c:v>266</c:v>
                </c:pt>
                <c:pt idx="2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AD-47F7-A09E-5E215175A0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398656"/>
        <c:axId val="387416832"/>
      </c:barChart>
      <c:catAx>
        <c:axId val="38739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7416832"/>
        <c:crosses val="autoZero"/>
        <c:auto val="1"/>
        <c:lblAlgn val="ctr"/>
        <c:lblOffset val="100"/>
        <c:noMultiLvlLbl val="0"/>
      </c:catAx>
      <c:valAx>
        <c:axId val="387416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873986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679832473770965E-2"/>
          <c:y val="5.1400554097404488E-2"/>
          <c:w val="0.86884846941302141"/>
          <c:h val="0.66461978710994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Sheet3!$A$117</c:f>
              <c:strCache>
                <c:ptCount val="1"/>
                <c:pt idx="0">
                  <c:v>Prosječna dužina trajanja predmera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Sheet3!$B$116:$L$116</c:f>
              <c:strCache>
                <c:ptCount val="11"/>
                <c:pt idx="0">
                  <c:v>KT Bihać</c:v>
                </c:pt>
                <c:pt idx="1">
                  <c:v>ŽT Orašje</c:v>
                </c:pt>
                <c:pt idx="2">
                  <c:v>KT Tuzla</c:v>
                </c:pt>
                <c:pt idx="3">
                  <c:v>KT Zenica</c:v>
                </c:pt>
                <c:pt idx="4">
                  <c:v>KT Goražde</c:v>
                </c:pt>
                <c:pt idx="5">
                  <c:v>KT Travnik</c:v>
                </c:pt>
                <c:pt idx="6">
                  <c:v>ŽT mostar</c:v>
                </c:pt>
                <c:pt idx="7">
                  <c:v>ŽT Široki Brijeg</c:v>
                </c:pt>
                <c:pt idx="8">
                  <c:v>KT Sarajevo</c:v>
                </c:pt>
                <c:pt idx="9">
                  <c:v>KT Livno</c:v>
                </c:pt>
                <c:pt idx="10">
                  <c:v>UKUPNO FBIH</c:v>
                </c:pt>
              </c:strCache>
            </c:strRef>
          </c:cat>
          <c:val>
            <c:numRef>
              <c:f>Sheet3!$B$117:$L$117</c:f>
              <c:numCache>
                <c:formatCode>General</c:formatCode>
                <c:ptCount val="11"/>
                <c:pt idx="0">
                  <c:v>217</c:v>
                </c:pt>
                <c:pt idx="1">
                  <c:v>96</c:v>
                </c:pt>
                <c:pt idx="2">
                  <c:v>223</c:v>
                </c:pt>
                <c:pt idx="3">
                  <c:v>197</c:v>
                </c:pt>
                <c:pt idx="4">
                  <c:v>39</c:v>
                </c:pt>
                <c:pt idx="5">
                  <c:v>89</c:v>
                </c:pt>
                <c:pt idx="6">
                  <c:v>156</c:v>
                </c:pt>
                <c:pt idx="7">
                  <c:v>105</c:v>
                </c:pt>
                <c:pt idx="8">
                  <c:v>342</c:v>
                </c:pt>
                <c:pt idx="9">
                  <c:v>42</c:v>
                </c:pt>
                <c:pt idx="10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80-4550-99F1-D711DDE37C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87425792"/>
        <c:axId val="387427328"/>
      </c:barChart>
      <c:catAx>
        <c:axId val="38742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7427328"/>
        <c:crosses val="autoZero"/>
        <c:auto val="1"/>
        <c:lblAlgn val="ctr"/>
        <c:lblOffset val="100"/>
        <c:noMultiLvlLbl val="0"/>
      </c:catAx>
      <c:valAx>
        <c:axId val="387427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87425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Sheet3!$B$138</c:f>
              <c:strCache>
                <c:ptCount val="1"/>
                <c:pt idx="0">
                  <c:v>Broj uloženih u odnosu na broj uvaženih pritužbi na nivou FBIH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Sheet3!$C$137:$D$137</c:f>
              <c:strCache>
                <c:ptCount val="2"/>
                <c:pt idx="0">
                  <c:v>Uložene</c:v>
                </c:pt>
                <c:pt idx="1">
                  <c:v>Uvažene</c:v>
                </c:pt>
              </c:strCache>
            </c:strRef>
          </c:cat>
          <c:val>
            <c:numRef>
              <c:f>Sheet3!$C$138:$D$138</c:f>
              <c:numCache>
                <c:formatCode>General</c:formatCode>
                <c:ptCount val="2"/>
                <c:pt idx="0">
                  <c:v>860</c:v>
                </c:pt>
                <c:pt idx="1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B-4ECE-9DDC-AC76A67778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435904"/>
        <c:axId val="387437696"/>
      </c:barChart>
      <c:catAx>
        <c:axId val="387435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7437696"/>
        <c:crosses val="autoZero"/>
        <c:auto val="1"/>
        <c:lblAlgn val="ctr"/>
        <c:lblOffset val="100"/>
        <c:noMultiLvlLbl val="0"/>
      </c:catAx>
      <c:valAx>
        <c:axId val="3874376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87435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Sheet3!$B$152</c:f>
              <c:strCache>
                <c:ptCount val="1"/>
                <c:pt idx="0">
                  <c:v>Broj neriješenih prijava na nivou FBiH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Sheet3!$C$151:$D$151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Sheet3!$C$152:$D$152</c:f>
              <c:numCache>
                <c:formatCode>General</c:formatCode>
                <c:ptCount val="2"/>
                <c:pt idx="0">
                  <c:v>6030</c:v>
                </c:pt>
                <c:pt idx="1">
                  <c:v>5321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D-487D-BD66-60088801F9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446272"/>
        <c:axId val="387447808"/>
      </c:barChart>
      <c:catAx>
        <c:axId val="38744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7447808"/>
        <c:crosses val="autoZero"/>
        <c:auto val="1"/>
        <c:lblAlgn val="ctr"/>
        <c:lblOffset val="100"/>
        <c:noMultiLvlLbl val="0"/>
      </c:catAx>
      <c:valAx>
        <c:axId val="387447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8744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Sheet3!$C$164</c:f>
              <c:strCache>
                <c:ptCount val="1"/>
                <c:pt idx="0">
                  <c:v>Broj neriješenih istraga na nivou FBiH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Sheet3!$D$163:$E$163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Sheet3!$D$164:$E$164</c:f>
              <c:numCache>
                <c:formatCode>General</c:formatCode>
                <c:ptCount val="2"/>
                <c:pt idx="0">
                  <c:v>1893</c:v>
                </c:pt>
                <c:pt idx="1">
                  <c:v>1674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6D-4566-900C-117AC9827E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472768"/>
        <c:axId val="387474560"/>
      </c:barChart>
      <c:catAx>
        <c:axId val="38747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7474560"/>
        <c:crosses val="autoZero"/>
        <c:auto val="1"/>
        <c:lblAlgn val="ctr"/>
        <c:lblOffset val="100"/>
        <c:noMultiLvlLbl val="0"/>
      </c:catAx>
      <c:valAx>
        <c:axId val="3874745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87472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309E3F-AAA7-9545-B4D3-0BB1F52263DC}" type="doc">
      <dgm:prSet loTypeId="urn:microsoft.com/office/officeart/2005/8/layout/lProcess2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ADBC6FB6-C137-794D-B811-78CF97D585C7}">
      <dgm:prSet phldrT="[Text]" custT="1"/>
      <dgm:spPr>
        <a:xfrm>
          <a:off x="643" y="0"/>
          <a:ext cx="1672766" cy="3632200"/>
        </a:xfrm>
        <a:solidFill>
          <a:srgbClr val="8064A2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atha"/>
              <a:ea typeface="+mn-ea"/>
              <a:cs typeface="+mn-cs"/>
            </a:rPr>
            <a:t>Smanjiti broj starih predmeta </a:t>
          </a:r>
          <a:endParaRPr lang="en-US" sz="1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7C19D065-DCA6-0744-B111-0AD586811A7D}" type="parTrans" cxnId="{DF387597-0AAD-5F48-9390-032D71561D08}">
      <dgm:prSet/>
      <dgm:spPr/>
      <dgm:t>
        <a:bodyPr/>
        <a:lstStyle/>
        <a:p>
          <a:endParaRPr lang="en-US"/>
        </a:p>
      </dgm:t>
    </dgm:pt>
    <dgm:pt modelId="{8CA18F5D-61CC-5346-86E6-CE501DE0B6CF}" type="sibTrans" cxnId="{DF387597-0AAD-5F48-9390-032D71561D08}">
      <dgm:prSet/>
      <dgm:spPr/>
      <dgm:t>
        <a:bodyPr/>
        <a:lstStyle/>
        <a:p>
          <a:endParaRPr lang="en-US"/>
        </a:p>
      </dgm:t>
    </dgm:pt>
    <dgm:pt modelId="{2BFD2513-C0C0-1F45-8CDB-8A2488D8B9A9}">
      <dgm:prSet phldrT="[Text]"/>
      <dgm:spPr>
        <a:xfrm>
          <a:off x="167919" y="1090724"/>
          <a:ext cx="1338212" cy="1095157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broj neriješenih KT predmeta starijih od dvije godine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2F40BD97-71C5-5D4D-8407-AAF14D063944}" type="parTrans" cxnId="{A3E2E5C9-6722-6845-8832-09BF9A23A32D}">
      <dgm:prSet/>
      <dgm:spPr/>
      <dgm:t>
        <a:bodyPr/>
        <a:lstStyle/>
        <a:p>
          <a:endParaRPr lang="en-US"/>
        </a:p>
      </dgm:t>
    </dgm:pt>
    <dgm:pt modelId="{C0A7BFAA-FB7B-C745-8B4B-8C158E9EB996}" type="sibTrans" cxnId="{A3E2E5C9-6722-6845-8832-09BF9A23A32D}">
      <dgm:prSet/>
      <dgm:spPr/>
      <dgm:t>
        <a:bodyPr/>
        <a:lstStyle/>
        <a:p>
          <a:endParaRPr lang="en-US"/>
        </a:p>
      </dgm:t>
    </dgm:pt>
    <dgm:pt modelId="{7B5F4707-BA5D-EE45-B019-8593370B5358}">
      <dgm:prSet phldrT="[Text]"/>
      <dgm:spPr>
        <a:xfrm>
          <a:off x="167919" y="2354367"/>
          <a:ext cx="1338212" cy="1095157"/>
        </a:xfrm>
        <a:gradFill rotWithShape="0">
          <a:gsLst>
            <a:gs pos="0">
              <a:srgbClr val="8064A2">
                <a:hueOff val="-558096"/>
                <a:satOff val="3362"/>
                <a:lumOff val="270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558096"/>
                <a:satOff val="3362"/>
                <a:lumOff val="27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broj neriješenih KTA predmeta starijih od dvije godine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9BC2C011-8B30-164B-94E7-EC5BB2F45C59}" type="parTrans" cxnId="{87F3BA0A-EDBE-6042-A5DF-1D1C11EDAA3B}">
      <dgm:prSet/>
      <dgm:spPr/>
      <dgm:t>
        <a:bodyPr/>
        <a:lstStyle/>
        <a:p>
          <a:endParaRPr lang="en-US"/>
        </a:p>
      </dgm:t>
    </dgm:pt>
    <dgm:pt modelId="{074A832A-BCBA-BD44-B5F7-AC3BA56FD8D6}" type="sibTrans" cxnId="{87F3BA0A-EDBE-6042-A5DF-1D1C11EDAA3B}">
      <dgm:prSet/>
      <dgm:spPr/>
      <dgm:t>
        <a:bodyPr/>
        <a:lstStyle/>
        <a:p>
          <a:endParaRPr lang="en-US"/>
        </a:p>
      </dgm:t>
    </dgm:pt>
    <dgm:pt modelId="{35DAFB57-CE6E-F24B-BDE7-A3D0EC5099EC}">
      <dgm:prSet phldrT="[Text]" custT="1"/>
      <dgm:spPr>
        <a:xfrm>
          <a:off x="1798866" y="0"/>
          <a:ext cx="1672766" cy="3632200"/>
        </a:xfrm>
        <a:solidFill>
          <a:srgbClr val="8064A2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atha"/>
              <a:ea typeface="+mn-ea"/>
              <a:cs typeface="+mn-cs"/>
            </a:rPr>
            <a:t>Povećati efikasnost i kvalitet rada</a:t>
          </a:r>
          <a:endParaRPr lang="en-US" sz="1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0246B9B3-8C35-0346-903B-9168B1E91CE6}" type="parTrans" cxnId="{82921D21-2CB7-EF48-B04B-C695EC296A1A}">
      <dgm:prSet/>
      <dgm:spPr/>
      <dgm:t>
        <a:bodyPr/>
        <a:lstStyle/>
        <a:p>
          <a:endParaRPr lang="en-US"/>
        </a:p>
      </dgm:t>
    </dgm:pt>
    <dgm:pt modelId="{29F4B515-CC92-AA49-9C3D-BA698ECAC960}" type="sibTrans" cxnId="{82921D21-2CB7-EF48-B04B-C695EC296A1A}">
      <dgm:prSet/>
      <dgm:spPr/>
      <dgm:t>
        <a:bodyPr/>
        <a:lstStyle/>
        <a:p>
          <a:endParaRPr lang="en-US"/>
        </a:p>
      </dgm:t>
    </dgm:pt>
    <dgm:pt modelId="{91FFCF2F-4A4E-FD4B-931A-A9F98D2445C1}">
      <dgm:prSet phldrT="[Text]"/>
      <dgm:spPr>
        <a:xfrm>
          <a:off x="1966143" y="1090347"/>
          <a:ext cx="1338212" cy="420194"/>
        </a:xfrm>
        <a:gradFill rotWithShape="0">
          <a:gsLst>
            <a:gs pos="0">
              <a:srgbClr val="8064A2">
                <a:hueOff val="-1116193"/>
                <a:satOff val="6725"/>
                <a:lumOff val="539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1116193"/>
                <a:satOff val="6725"/>
                <a:lumOff val="539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Skratiti prosječnu dužinu trajanja predmeta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B40FCFB2-2CDF-4242-8A9E-ED9528AD021C}" type="parTrans" cxnId="{9DD71084-F0A1-6A4B-ACBF-C6311549A150}">
      <dgm:prSet/>
      <dgm:spPr/>
      <dgm:t>
        <a:bodyPr/>
        <a:lstStyle/>
        <a:p>
          <a:endParaRPr lang="en-US"/>
        </a:p>
      </dgm:t>
    </dgm:pt>
    <dgm:pt modelId="{86AD66C9-2F76-A247-85DE-DA9382FE7515}" type="sibTrans" cxnId="{9DD71084-F0A1-6A4B-ACBF-C6311549A150}">
      <dgm:prSet/>
      <dgm:spPr/>
      <dgm:t>
        <a:bodyPr/>
        <a:lstStyle/>
        <a:p>
          <a:endParaRPr lang="en-US"/>
        </a:p>
      </dgm:t>
    </dgm:pt>
    <dgm:pt modelId="{7866E4F6-F32A-C746-BF00-6A8CC9CC3D08}">
      <dgm:prSet phldrT="[Text]"/>
      <dgm:spPr>
        <a:xfrm>
          <a:off x="1966143" y="1575187"/>
          <a:ext cx="1338212" cy="420194"/>
        </a:xfrm>
        <a:gradFill rotWithShape="0">
          <a:gsLst>
            <a:gs pos="0">
              <a:srgbClr val="8064A2">
                <a:hueOff val="-1674289"/>
                <a:satOff val="10087"/>
                <a:lumOff val="809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1674289"/>
                <a:satOff val="10087"/>
                <a:lumOff val="809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Povećati omjer osuđujućih presuda u odnosu na </a:t>
          </a:r>
          <a:r>
            <a:rPr lang="bs-Latn-BA">
              <a:solidFill>
                <a:sysClr val="window" lastClr="FFFFFF"/>
              </a:solidFill>
              <a:latin typeface="Latha"/>
              <a:ea typeface="+mn-ea"/>
              <a:cs typeface="+mn-cs"/>
            </a:rPr>
            <a:t>ukupan broj presuda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78101EBA-B171-F44C-A1AA-AC653C214E95}" type="parTrans" cxnId="{346795E9-ADE7-7A4E-A6A5-647C3A8F1A6F}">
      <dgm:prSet/>
      <dgm:spPr/>
      <dgm:t>
        <a:bodyPr/>
        <a:lstStyle/>
        <a:p>
          <a:endParaRPr lang="en-US"/>
        </a:p>
      </dgm:t>
    </dgm:pt>
    <dgm:pt modelId="{9E05FF60-4B30-8E46-8578-48CA92F48E41}" type="sibTrans" cxnId="{346795E9-ADE7-7A4E-A6A5-647C3A8F1A6F}">
      <dgm:prSet/>
      <dgm:spPr/>
      <dgm:t>
        <a:bodyPr/>
        <a:lstStyle/>
        <a:p>
          <a:endParaRPr lang="en-US"/>
        </a:p>
      </dgm:t>
    </dgm:pt>
    <dgm:pt modelId="{1D4E41F7-00E6-854E-B8B3-ABD2577F31DF}">
      <dgm:prSet phldrT="[Text]" custT="1"/>
      <dgm:spPr>
        <a:xfrm>
          <a:off x="3597090" y="0"/>
          <a:ext cx="1672766" cy="3632200"/>
        </a:xfrm>
        <a:solidFill>
          <a:srgbClr val="8064A2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hr-BA" sz="1500"/>
            <a:t>Povećati kvantitet i kvalitet informacija u skladu sa planom praćenja i evaluacije PR u tužilaštvima</a:t>
          </a:r>
          <a:endParaRPr lang="hr-HR" sz="1500" b="0">
            <a:latin typeface="Latha (body)"/>
          </a:endParaRPr>
        </a:p>
      </dgm:t>
    </dgm:pt>
    <dgm:pt modelId="{D425B0A3-1418-8648-B40F-9D7474AE7945}" type="parTrans" cxnId="{3FD95D98-901A-DB41-A4CC-D24B8DC236DF}">
      <dgm:prSet/>
      <dgm:spPr/>
      <dgm:t>
        <a:bodyPr/>
        <a:lstStyle/>
        <a:p>
          <a:endParaRPr lang="en-US"/>
        </a:p>
      </dgm:t>
    </dgm:pt>
    <dgm:pt modelId="{509BFCF8-BA0F-D841-BA36-86AA6BDD604D}" type="sibTrans" cxnId="{3FD95D98-901A-DB41-A4CC-D24B8DC236DF}">
      <dgm:prSet/>
      <dgm:spPr/>
      <dgm:t>
        <a:bodyPr/>
        <a:lstStyle/>
        <a:p>
          <a:endParaRPr lang="en-US"/>
        </a:p>
      </dgm:t>
    </dgm:pt>
    <dgm:pt modelId="{634D71E3-C198-0A4F-A53B-AD123AA9025F}">
      <dgm:prSet phldrT="[Text]"/>
      <dgm:spPr>
        <a:xfrm>
          <a:off x="3764367" y="1090724"/>
          <a:ext cx="1338212" cy="1095157"/>
        </a:xfrm>
        <a:gradFill rotWithShape="0">
          <a:gsLst>
            <a:gs pos="0">
              <a:srgbClr val="8064A2">
                <a:hueOff val="-3906675"/>
                <a:satOff val="23537"/>
                <a:lumOff val="1887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3906675"/>
                <a:satOff val="23537"/>
                <a:lumOff val="1887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hr-BA"/>
            <a:t>Povećati kvalitet informacija u skladu sa planom praćenja i evaluacije PR u tužilaštvima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24D93F6A-1C61-8A4D-A813-847ADD577DEC}" type="parTrans" cxnId="{D57B648F-99ED-8944-9ED4-947CC8D16CBD}">
      <dgm:prSet/>
      <dgm:spPr/>
      <dgm:t>
        <a:bodyPr/>
        <a:lstStyle/>
        <a:p>
          <a:endParaRPr lang="en-US"/>
        </a:p>
      </dgm:t>
    </dgm:pt>
    <dgm:pt modelId="{0BE098CB-1191-5A49-96C1-BB66B3A99464}" type="sibTrans" cxnId="{D57B648F-99ED-8944-9ED4-947CC8D16CBD}">
      <dgm:prSet/>
      <dgm:spPr/>
      <dgm:t>
        <a:bodyPr/>
        <a:lstStyle/>
        <a:p>
          <a:endParaRPr lang="en-US"/>
        </a:p>
      </dgm:t>
    </dgm:pt>
    <dgm:pt modelId="{277ED844-331E-0447-AB8B-53A2C89BFEC5}">
      <dgm:prSet phldrT="[Text]"/>
      <dgm:spPr>
        <a:xfrm>
          <a:off x="1966143" y="2060027"/>
          <a:ext cx="1338212" cy="420194"/>
        </a:xfrm>
        <a:gradFill rotWithShape="0">
          <a:gsLst>
            <a:gs pos="0">
              <a:srgbClr val="8064A2">
                <a:hueOff val="-2232386"/>
                <a:satOff val="13449"/>
                <a:lumOff val="1078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2232386"/>
                <a:satOff val="13449"/>
                <a:lumOff val="1078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omjer uvaženih pritužbi u odnosu na uložene pritužbe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3D3CFB3C-EC61-AE4A-BAE0-65C8929903FB}" type="parTrans" cxnId="{714638A8-3C3C-8248-BE66-EE059E1EA559}">
      <dgm:prSet/>
      <dgm:spPr/>
      <dgm:t>
        <a:bodyPr/>
        <a:lstStyle/>
        <a:p>
          <a:endParaRPr lang="en-US"/>
        </a:p>
      </dgm:t>
    </dgm:pt>
    <dgm:pt modelId="{D3A9083B-56D7-E848-810B-60FF826C5955}" type="sibTrans" cxnId="{714638A8-3C3C-8248-BE66-EE059E1EA559}">
      <dgm:prSet/>
      <dgm:spPr/>
      <dgm:t>
        <a:bodyPr/>
        <a:lstStyle/>
        <a:p>
          <a:endParaRPr lang="en-US"/>
        </a:p>
      </dgm:t>
    </dgm:pt>
    <dgm:pt modelId="{782A9AEC-0D07-7440-9EDA-FA2EC090D297}">
      <dgm:prSet phldrT="[Text]"/>
      <dgm:spPr>
        <a:xfrm>
          <a:off x="1966143" y="2544867"/>
          <a:ext cx="1338212" cy="420194"/>
        </a:xfrm>
        <a:gradFill rotWithShape="0">
          <a:gsLst>
            <a:gs pos="0">
              <a:srgbClr val="8064A2">
                <a:hueOff val="-2790482"/>
                <a:satOff val="16812"/>
                <a:lumOff val="1348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2790482"/>
                <a:satOff val="16812"/>
                <a:lumOff val="1348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broj neriješenih prijava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186B171A-A0D9-BC42-9968-AE9A048D4B78}" type="parTrans" cxnId="{B71DA9A3-CB61-864C-9741-53CB404AE7ED}">
      <dgm:prSet/>
      <dgm:spPr/>
      <dgm:t>
        <a:bodyPr/>
        <a:lstStyle/>
        <a:p>
          <a:endParaRPr lang="en-US"/>
        </a:p>
      </dgm:t>
    </dgm:pt>
    <dgm:pt modelId="{3C083690-1EF9-194E-9438-D4696FEDBE4E}" type="sibTrans" cxnId="{B71DA9A3-CB61-864C-9741-53CB404AE7ED}">
      <dgm:prSet/>
      <dgm:spPr/>
      <dgm:t>
        <a:bodyPr/>
        <a:lstStyle/>
        <a:p>
          <a:endParaRPr lang="en-US"/>
        </a:p>
      </dgm:t>
    </dgm:pt>
    <dgm:pt modelId="{BA4ADEB5-2E2D-9446-BD38-4591BB4E2D18}">
      <dgm:prSet phldrT="[Text]"/>
      <dgm:spPr>
        <a:xfrm>
          <a:off x="1966143" y="3029707"/>
          <a:ext cx="1338212" cy="420194"/>
        </a:xfrm>
        <a:gradFill rotWithShape="0">
          <a:gsLst>
            <a:gs pos="0">
              <a:srgbClr val="8064A2">
                <a:hueOff val="-3348579"/>
                <a:satOff val="20174"/>
                <a:lumOff val="1617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3348579"/>
                <a:satOff val="20174"/>
                <a:lumOff val="1617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broj neriješenih istraga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2E66B99B-E6E9-EF49-821B-9077545B2C1C}" type="parTrans" cxnId="{51644CD9-FFBE-614A-8F6D-29C3794A159D}">
      <dgm:prSet/>
      <dgm:spPr/>
      <dgm:t>
        <a:bodyPr/>
        <a:lstStyle/>
        <a:p>
          <a:endParaRPr lang="en-US"/>
        </a:p>
      </dgm:t>
    </dgm:pt>
    <dgm:pt modelId="{B534C0EC-0480-C94A-BB7A-ED51BC97E7B4}" type="sibTrans" cxnId="{51644CD9-FFBE-614A-8F6D-29C3794A159D}">
      <dgm:prSet/>
      <dgm:spPr/>
      <dgm:t>
        <a:bodyPr/>
        <a:lstStyle/>
        <a:p>
          <a:endParaRPr lang="en-US"/>
        </a:p>
      </dgm:t>
    </dgm:pt>
    <dgm:pt modelId="{EC58EF5C-3BAB-E04D-ADE6-AC088B1D345A}">
      <dgm:prSet phldrT="[Text]"/>
      <dgm:spPr>
        <a:xfrm>
          <a:off x="3764367" y="2354367"/>
          <a:ext cx="1338212" cy="1095157"/>
        </a:xfrm>
        <a:gradFill rotWithShape="0">
          <a:gsLst>
            <a:gs pos="0">
              <a:srgbClr val="8064A2">
                <a:hueOff val="-4464771"/>
                <a:satOff val="26899"/>
                <a:lumOff val="2156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4464771"/>
                <a:satOff val="26899"/>
                <a:lumOff val="2156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hr-BA"/>
            <a:t>Povećati kvantitet informacija u skladu sa planom praćenja i evaluacije PR u tužilaštvima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BE6111E8-25D2-4346-A759-B59F92BA2F16}" type="parTrans" cxnId="{9C23C38B-C767-CE49-AB3D-E90A825BB47F}">
      <dgm:prSet/>
      <dgm:spPr/>
      <dgm:t>
        <a:bodyPr/>
        <a:lstStyle/>
        <a:p>
          <a:endParaRPr lang="en-US"/>
        </a:p>
      </dgm:t>
    </dgm:pt>
    <dgm:pt modelId="{19200DF9-F488-354C-A38E-347F75923F40}" type="sibTrans" cxnId="{9C23C38B-C767-CE49-AB3D-E90A825BB47F}">
      <dgm:prSet/>
      <dgm:spPr/>
      <dgm:t>
        <a:bodyPr/>
        <a:lstStyle/>
        <a:p>
          <a:endParaRPr lang="en-US"/>
        </a:p>
      </dgm:t>
    </dgm:pt>
    <dgm:pt modelId="{D4FDE36B-FB73-D343-B3C4-05DC38D1D84A}" type="pres">
      <dgm:prSet presAssocID="{65309E3F-AAA7-9545-B4D3-0BB1F52263D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s-Latn-BA"/>
        </a:p>
      </dgm:t>
    </dgm:pt>
    <dgm:pt modelId="{3661824B-295E-1C43-A9CD-47E14E254F44}" type="pres">
      <dgm:prSet presAssocID="{ADBC6FB6-C137-794D-B811-78CF97D585C7}" presName="compNode" presStyleCnt="0"/>
      <dgm:spPr/>
    </dgm:pt>
    <dgm:pt modelId="{D0743D68-6207-2C49-BAC5-267460D31876}" type="pres">
      <dgm:prSet presAssocID="{ADBC6FB6-C137-794D-B811-78CF97D585C7}" presName="aNode" presStyleLbl="bgShp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s-Latn-BA"/>
        </a:p>
      </dgm:t>
    </dgm:pt>
    <dgm:pt modelId="{68134808-0369-D745-8978-D4DD497FBC1A}" type="pres">
      <dgm:prSet presAssocID="{ADBC6FB6-C137-794D-B811-78CF97D585C7}" presName="textNode" presStyleLbl="bgShp" presStyleIdx="0" presStyleCnt="3"/>
      <dgm:spPr/>
      <dgm:t>
        <a:bodyPr/>
        <a:lstStyle/>
        <a:p>
          <a:endParaRPr lang="bs-Latn-BA"/>
        </a:p>
      </dgm:t>
    </dgm:pt>
    <dgm:pt modelId="{E961C950-64CA-254F-A8BC-517CE95BE1A2}" type="pres">
      <dgm:prSet presAssocID="{ADBC6FB6-C137-794D-B811-78CF97D585C7}" presName="compChildNode" presStyleCnt="0"/>
      <dgm:spPr/>
    </dgm:pt>
    <dgm:pt modelId="{BF7CF436-999D-9A43-BFD4-E057F8AD6FF5}" type="pres">
      <dgm:prSet presAssocID="{ADBC6FB6-C137-794D-B811-78CF97D585C7}" presName="theInnerList" presStyleCnt="0"/>
      <dgm:spPr/>
    </dgm:pt>
    <dgm:pt modelId="{50494CA8-8293-DA46-B4CA-A64FAE5E79C0}" type="pres">
      <dgm:prSet presAssocID="{2BFD2513-C0C0-1F45-8CDB-8A2488D8B9A9}" presName="childNode" presStyleLbl="node1" presStyleIdx="0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9F56575-C5B5-6747-89AD-730E39A67D83}" type="pres">
      <dgm:prSet presAssocID="{2BFD2513-C0C0-1F45-8CDB-8A2488D8B9A9}" presName="aSpace2" presStyleCnt="0"/>
      <dgm:spPr/>
    </dgm:pt>
    <dgm:pt modelId="{0BA8AEBD-D490-4E40-B9B0-D2A7B9922739}" type="pres">
      <dgm:prSet presAssocID="{7B5F4707-BA5D-EE45-B019-8593370B5358}" presName="childNode" presStyleLbl="node1" presStyleIdx="1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E9C0E29-60F6-FF48-A88D-D6C4E41C70CF}" type="pres">
      <dgm:prSet presAssocID="{ADBC6FB6-C137-794D-B811-78CF97D585C7}" presName="aSpace" presStyleCnt="0"/>
      <dgm:spPr/>
    </dgm:pt>
    <dgm:pt modelId="{85469C11-B610-4645-8032-C1F228A4CFF9}" type="pres">
      <dgm:prSet presAssocID="{35DAFB57-CE6E-F24B-BDE7-A3D0EC5099EC}" presName="compNode" presStyleCnt="0"/>
      <dgm:spPr/>
    </dgm:pt>
    <dgm:pt modelId="{6544C19E-85FB-B641-B07B-F9D17812514E}" type="pres">
      <dgm:prSet presAssocID="{35DAFB57-CE6E-F24B-BDE7-A3D0EC5099EC}" presName="aNode" presStyleLbl="bgShp" presStyleIdx="1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s-Latn-BA"/>
        </a:p>
      </dgm:t>
    </dgm:pt>
    <dgm:pt modelId="{AC9C3724-0681-2D4B-9C88-511ABCA939F1}" type="pres">
      <dgm:prSet presAssocID="{35DAFB57-CE6E-F24B-BDE7-A3D0EC5099EC}" presName="textNode" presStyleLbl="bgShp" presStyleIdx="1" presStyleCnt="3"/>
      <dgm:spPr/>
      <dgm:t>
        <a:bodyPr/>
        <a:lstStyle/>
        <a:p>
          <a:endParaRPr lang="bs-Latn-BA"/>
        </a:p>
      </dgm:t>
    </dgm:pt>
    <dgm:pt modelId="{27A224AF-4C4C-6340-A7FE-9D6D8B27E698}" type="pres">
      <dgm:prSet presAssocID="{35DAFB57-CE6E-F24B-BDE7-A3D0EC5099EC}" presName="compChildNode" presStyleCnt="0"/>
      <dgm:spPr/>
    </dgm:pt>
    <dgm:pt modelId="{E3D06FCF-1C91-1E4E-A3C6-1F19FABD4B4D}" type="pres">
      <dgm:prSet presAssocID="{35DAFB57-CE6E-F24B-BDE7-A3D0EC5099EC}" presName="theInnerList" presStyleCnt="0"/>
      <dgm:spPr/>
    </dgm:pt>
    <dgm:pt modelId="{1F7F35AA-8D12-694B-A3C2-0A5614986AC5}" type="pres">
      <dgm:prSet presAssocID="{91FFCF2F-4A4E-FD4B-931A-A9F98D2445C1}" presName="childNode" presStyleLbl="node1" presStyleIdx="2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85FE7D4-7B4C-064C-954C-18986F5CE498}" type="pres">
      <dgm:prSet presAssocID="{91FFCF2F-4A4E-FD4B-931A-A9F98D2445C1}" presName="aSpace2" presStyleCnt="0"/>
      <dgm:spPr/>
    </dgm:pt>
    <dgm:pt modelId="{7BDC1066-5686-0C41-98D7-BB2ED43C5A8C}" type="pres">
      <dgm:prSet presAssocID="{7866E4F6-F32A-C746-BF00-6A8CC9CC3D08}" presName="childNode" presStyleLbl="node1" presStyleIdx="3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3086C15-9028-6547-93EA-8D2F88CBB103}" type="pres">
      <dgm:prSet presAssocID="{7866E4F6-F32A-C746-BF00-6A8CC9CC3D08}" presName="aSpace2" presStyleCnt="0"/>
      <dgm:spPr/>
    </dgm:pt>
    <dgm:pt modelId="{A19AF2E5-0864-3A48-A104-9291461DCCB4}" type="pres">
      <dgm:prSet presAssocID="{277ED844-331E-0447-AB8B-53A2C89BFEC5}" presName="childNode" presStyleLbl="node1" presStyleIdx="4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30A84E-0D9E-D644-A1CD-4A130000DA57}" type="pres">
      <dgm:prSet presAssocID="{277ED844-331E-0447-AB8B-53A2C89BFEC5}" presName="aSpace2" presStyleCnt="0"/>
      <dgm:spPr/>
    </dgm:pt>
    <dgm:pt modelId="{4B35190F-B2F6-1E49-A0B9-12D397428F2E}" type="pres">
      <dgm:prSet presAssocID="{782A9AEC-0D07-7440-9EDA-FA2EC090D297}" presName="childNode" presStyleLbl="node1" presStyleIdx="5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0A65441-EEC0-7B46-9D4D-A180F71F5218}" type="pres">
      <dgm:prSet presAssocID="{782A9AEC-0D07-7440-9EDA-FA2EC090D297}" presName="aSpace2" presStyleCnt="0"/>
      <dgm:spPr/>
    </dgm:pt>
    <dgm:pt modelId="{F73A3697-6EC1-1749-9FDB-3080E603C07C}" type="pres">
      <dgm:prSet presAssocID="{BA4ADEB5-2E2D-9446-BD38-4591BB4E2D18}" presName="childNode" presStyleLbl="node1" presStyleIdx="6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bs-Latn-BA"/>
        </a:p>
      </dgm:t>
    </dgm:pt>
    <dgm:pt modelId="{9E09A0E8-4260-2C4C-8621-4E8D9C5BF9C3}" type="pres">
      <dgm:prSet presAssocID="{35DAFB57-CE6E-F24B-BDE7-A3D0EC5099EC}" presName="aSpace" presStyleCnt="0"/>
      <dgm:spPr/>
    </dgm:pt>
    <dgm:pt modelId="{E8ACC3E2-C5BA-9E4B-9E35-078DBC5B0811}" type="pres">
      <dgm:prSet presAssocID="{1D4E41F7-00E6-854E-B8B3-ABD2577F31DF}" presName="compNode" presStyleCnt="0"/>
      <dgm:spPr/>
    </dgm:pt>
    <dgm:pt modelId="{BA7CFF94-A349-A24D-A0C3-3F8B1C47F5EE}" type="pres">
      <dgm:prSet presAssocID="{1D4E41F7-00E6-854E-B8B3-ABD2577F31DF}" presName="aNode" presStyleLbl="bgShp" presStyleIdx="2" presStyleCnt="3" custScaleX="10473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62A48B8-CB07-734D-8395-191FAC5D1119}" type="pres">
      <dgm:prSet presAssocID="{1D4E41F7-00E6-854E-B8B3-ABD2577F31DF}" presName="textNode" presStyleLbl="bgShp" presStyleIdx="2" presStyleCnt="3"/>
      <dgm:spPr/>
      <dgm:t>
        <a:bodyPr/>
        <a:lstStyle/>
        <a:p>
          <a:endParaRPr lang="en-US"/>
        </a:p>
      </dgm:t>
    </dgm:pt>
    <dgm:pt modelId="{78374BB0-A1F4-8B4D-9254-595B06401211}" type="pres">
      <dgm:prSet presAssocID="{1D4E41F7-00E6-854E-B8B3-ABD2577F31DF}" presName="compChildNode" presStyleCnt="0"/>
      <dgm:spPr/>
    </dgm:pt>
    <dgm:pt modelId="{BB4DE89D-3C5F-0D4C-A92E-6B602B57B439}" type="pres">
      <dgm:prSet presAssocID="{1D4E41F7-00E6-854E-B8B3-ABD2577F31DF}" presName="theInnerList" presStyleCnt="0"/>
      <dgm:spPr/>
    </dgm:pt>
    <dgm:pt modelId="{04EBA81A-FD26-0F49-8069-EE08B9BE3A34}" type="pres">
      <dgm:prSet presAssocID="{634D71E3-C198-0A4F-A53B-AD123AA9025F}" presName="childNode" presStyleLbl="node1" presStyleIdx="7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F948D54-F899-4045-9BD8-65FE44B98B60}" type="pres">
      <dgm:prSet presAssocID="{634D71E3-C198-0A4F-A53B-AD123AA9025F}" presName="aSpace2" presStyleCnt="0"/>
      <dgm:spPr/>
    </dgm:pt>
    <dgm:pt modelId="{8E87CD6F-3425-3741-B835-B914C1D7FD9B}" type="pres">
      <dgm:prSet presAssocID="{EC58EF5C-3BAB-E04D-ADE6-AC088B1D345A}" presName="childNode" presStyleLbl="node1" presStyleIdx="8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97E4CE19-685E-4D24-9F27-0BAB9E69FDBC}" type="presOf" srcId="{65309E3F-AAA7-9545-B4D3-0BB1F52263DC}" destId="{D4FDE36B-FB73-D343-B3C4-05DC38D1D84A}" srcOrd="0" destOrd="0" presId="urn:microsoft.com/office/officeart/2005/8/layout/lProcess2"/>
    <dgm:cxn modelId="{3FD95D98-901A-DB41-A4CC-D24B8DC236DF}" srcId="{65309E3F-AAA7-9545-B4D3-0BB1F52263DC}" destId="{1D4E41F7-00E6-854E-B8B3-ABD2577F31DF}" srcOrd="2" destOrd="0" parTransId="{D425B0A3-1418-8648-B40F-9D7474AE7945}" sibTransId="{509BFCF8-BA0F-D841-BA36-86AA6BDD604D}"/>
    <dgm:cxn modelId="{375A8772-9828-466A-BE80-B7DC4DEE9D0D}" type="presOf" srcId="{1D4E41F7-00E6-854E-B8B3-ABD2577F31DF}" destId="{D62A48B8-CB07-734D-8395-191FAC5D1119}" srcOrd="1" destOrd="0" presId="urn:microsoft.com/office/officeart/2005/8/layout/lProcess2"/>
    <dgm:cxn modelId="{F9C8E0B8-97D7-4593-A3C4-979FCC8F3EC9}" type="presOf" srcId="{91FFCF2F-4A4E-FD4B-931A-A9F98D2445C1}" destId="{1F7F35AA-8D12-694B-A3C2-0A5614986AC5}" srcOrd="0" destOrd="0" presId="urn:microsoft.com/office/officeart/2005/8/layout/lProcess2"/>
    <dgm:cxn modelId="{32A09440-7C6F-4B69-871F-72A8F10DCA3E}" type="presOf" srcId="{1D4E41F7-00E6-854E-B8B3-ABD2577F31DF}" destId="{BA7CFF94-A349-A24D-A0C3-3F8B1C47F5EE}" srcOrd="0" destOrd="0" presId="urn:microsoft.com/office/officeart/2005/8/layout/lProcess2"/>
    <dgm:cxn modelId="{180C6775-F153-419E-8AB7-75312D8FFD5C}" type="presOf" srcId="{782A9AEC-0D07-7440-9EDA-FA2EC090D297}" destId="{4B35190F-B2F6-1E49-A0B9-12D397428F2E}" srcOrd="0" destOrd="0" presId="urn:microsoft.com/office/officeart/2005/8/layout/lProcess2"/>
    <dgm:cxn modelId="{F56C7F29-F83D-4C0B-AD0D-2C9CCB8982FE}" type="presOf" srcId="{BA4ADEB5-2E2D-9446-BD38-4591BB4E2D18}" destId="{F73A3697-6EC1-1749-9FDB-3080E603C07C}" srcOrd="0" destOrd="0" presId="urn:microsoft.com/office/officeart/2005/8/layout/lProcess2"/>
    <dgm:cxn modelId="{A3E2E5C9-6722-6845-8832-09BF9A23A32D}" srcId="{ADBC6FB6-C137-794D-B811-78CF97D585C7}" destId="{2BFD2513-C0C0-1F45-8CDB-8A2488D8B9A9}" srcOrd="0" destOrd="0" parTransId="{2F40BD97-71C5-5D4D-8407-AAF14D063944}" sibTransId="{C0A7BFAA-FB7B-C745-8B4B-8C158E9EB996}"/>
    <dgm:cxn modelId="{7A75DE0D-756B-4F10-A4DB-09784482C95A}" type="presOf" srcId="{35DAFB57-CE6E-F24B-BDE7-A3D0EC5099EC}" destId="{AC9C3724-0681-2D4B-9C88-511ABCA939F1}" srcOrd="1" destOrd="0" presId="urn:microsoft.com/office/officeart/2005/8/layout/lProcess2"/>
    <dgm:cxn modelId="{C1E007CD-7DE6-4725-B170-7A4ABE1BB715}" type="presOf" srcId="{35DAFB57-CE6E-F24B-BDE7-A3D0EC5099EC}" destId="{6544C19E-85FB-B641-B07B-F9D17812514E}" srcOrd="0" destOrd="0" presId="urn:microsoft.com/office/officeart/2005/8/layout/lProcess2"/>
    <dgm:cxn modelId="{CBA0F795-2A99-4F57-A5BF-64BEBAEA60B0}" type="presOf" srcId="{277ED844-331E-0447-AB8B-53A2C89BFEC5}" destId="{A19AF2E5-0864-3A48-A104-9291461DCCB4}" srcOrd="0" destOrd="0" presId="urn:microsoft.com/office/officeart/2005/8/layout/lProcess2"/>
    <dgm:cxn modelId="{6452627E-6E34-48BE-BC7C-C1FD92961427}" type="presOf" srcId="{2BFD2513-C0C0-1F45-8CDB-8A2488D8B9A9}" destId="{50494CA8-8293-DA46-B4CA-A64FAE5E79C0}" srcOrd="0" destOrd="0" presId="urn:microsoft.com/office/officeart/2005/8/layout/lProcess2"/>
    <dgm:cxn modelId="{87F3BA0A-EDBE-6042-A5DF-1D1C11EDAA3B}" srcId="{ADBC6FB6-C137-794D-B811-78CF97D585C7}" destId="{7B5F4707-BA5D-EE45-B019-8593370B5358}" srcOrd="1" destOrd="0" parTransId="{9BC2C011-8B30-164B-94E7-EC5BB2F45C59}" sibTransId="{074A832A-BCBA-BD44-B5F7-AC3BA56FD8D6}"/>
    <dgm:cxn modelId="{346795E9-ADE7-7A4E-A6A5-647C3A8F1A6F}" srcId="{35DAFB57-CE6E-F24B-BDE7-A3D0EC5099EC}" destId="{7866E4F6-F32A-C746-BF00-6A8CC9CC3D08}" srcOrd="1" destOrd="0" parTransId="{78101EBA-B171-F44C-A1AA-AC653C214E95}" sibTransId="{9E05FF60-4B30-8E46-8578-48CA92F48E41}"/>
    <dgm:cxn modelId="{B71DA9A3-CB61-864C-9741-53CB404AE7ED}" srcId="{35DAFB57-CE6E-F24B-BDE7-A3D0EC5099EC}" destId="{782A9AEC-0D07-7440-9EDA-FA2EC090D297}" srcOrd="3" destOrd="0" parTransId="{186B171A-A0D9-BC42-9968-AE9A048D4B78}" sibTransId="{3C083690-1EF9-194E-9438-D4696FEDBE4E}"/>
    <dgm:cxn modelId="{82921D21-2CB7-EF48-B04B-C695EC296A1A}" srcId="{65309E3F-AAA7-9545-B4D3-0BB1F52263DC}" destId="{35DAFB57-CE6E-F24B-BDE7-A3D0EC5099EC}" srcOrd="1" destOrd="0" parTransId="{0246B9B3-8C35-0346-903B-9168B1E91CE6}" sibTransId="{29F4B515-CC92-AA49-9C3D-BA698ECAC960}"/>
    <dgm:cxn modelId="{51644CD9-FFBE-614A-8F6D-29C3794A159D}" srcId="{35DAFB57-CE6E-F24B-BDE7-A3D0EC5099EC}" destId="{BA4ADEB5-2E2D-9446-BD38-4591BB4E2D18}" srcOrd="4" destOrd="0" parTransId="{2E66B99B-E6E9-EF49-821B-9077545B2C1C}" sibTransId="{B534C0EC-0480-C94A-BB7A-ED51BC97E7B4}"/>
    <dgm:cxn modelId="{A0E22D8D-EE99-4792-9C60-85EDA7BC18CB}" type="presOf" srcId="{EC58EF5C-3BAB-E04D-ADE6-AC088B1D345A}" destId="{8E87CD6F-3425-3741-B835-B914C1D7FD9B}" srcOrd="0" destOrd="0" presId="urn:microsoft.com/office/officeart/2005/8/layout/lProcess2"/>
    <dgm:cxn modelId="{DF387597-0AAD-5F48-9390-032D71561D08}" srcId="{65309E3F-AAA7-9545-B4D3-0BB1F52263DC}" destId="{ADBC6FB6-C137-794D-B811-78CF97D585C7}" srcOrd="0" destOrd="0" parTransId="{7C19D065-DCA6-0744-B111-0AD586811A7D}" sibTransId="{8CA18F5D-61CC-5346-86E6-CE501DE0B6CF}"/>
    <dgm:cxn modelId="{88173DB3-D02D-4358-A95C-7849747BBF4F}" type="presOf" srcId="{ADBC6FB6-C137-794D-B811-78CF97D585C7}" destId="{D0743D68-6207-2C49-BAC5-267460D31876}" srcOrd="0" destOrd="0" presId="urn:microsoft.com/office/officeart/2005/8/layout/lProcess2"/>
    <dgm:cxn modelId="{714638A8-3C3C-8248-BE66-EE059E1EA559}" srcId="{35DAFB57-CE6E-F24B-BDE7-A3D0EC5099EC}" destId="{277ED844-331E-0447-AB8B-53A2C89BFEC5}" srcOrd="2" destOrd="0" parTransId="{3D3CFB3C-EC61-AE4A-BAE0-65C8929903FB}" sibTransId="{D3A9083B-56D7-E848-810B-60FF826C5955}"/>
    <dgm:cxn modelId="{9FB006BB-394F-4BAF-8A32-5501E6D27EF4}" type="presOf" srcId="{7866E4F6-F32A-C746-BF00-6A8CC9CC3D08}" destId="{7BDC1066-5686-0C41-98D7-BB2ED43C5A8C}" srcOrd="0" destOrd="0" presId="urn:microsoft.com/office/officeart/2005/8/layout/lProcess2"/>
    <dgm:cxn modelId="{D57B648F-99ED-8944-9ED4-947CC8D16CBD}" srcId="{1D4E41F7-00E6-854E-B8B3-ABD2577F31DF}" destId="{634D71E3-C198-0A4F-A53B-AD123AA9025F}" srcOrd="0" destOrd="0" parTransId="{24D93F6A-1C61-8A4D-A813-847ADD577DEC}" sibTransId="{0BE098CB-1191-5A49-96C1-BB66B3A99464}"/>
    <dgm:cxn modelId="{8263DC53-E63A-4328-B30C-57A4575A4AFB}" type="presOf" srcId="{7B5F4707-BA5D-EE45-B019-8593370B5358}" destId="{0BA8AEBD-D490-4E40-B9B0-D2A7B9922739}" srcOrd="0" destOrd="0" presId="urn:microsoft.com/office/officeart/2005/8/layout/lProcess2"/>
    <dgm:cxn modelId="{A68DD487-0F69-46B8-BA43-713A22D16875}" type="presOf" srcId="{634D71E3-C198-0A4F-A53B-AD123AA9025F}" destId="{04EBA81A-FD26-0F49-8069-EE08B9BE3A34}" srcOrd="0" destOrd="0" presId="urn:microsoft.com/office/officeart/2005/8/layout/lProcess2"/>
    <dgm:cxn modelId="{9DD71084-F0A1-6A4B-ACBF-C6311549A150}" srcId="{35DAFB57-CE6E-F24B-BDE7-A3D0EC5099EC}" destId="{91FFCF2F-4A4E-FD4B-931A-A9F98D2445C1}" srcOrd="0" destOrd="0" parTransId="{B40FCFB2-2CDF-4242-8A9E-ED9528AD021C}" sibTransId="{86AD66C9-2F76-A247-85DE-DA9382FE7515}"/>
    <dgm:cxn modelId="{47410EBD-D21C-4875-9048-5A83AF8694F4}" type="presOf" srcId="{ADBC6FB6-C137-794D-B811-78CF97D585C7}" destId="{68134808-0369-D745-8978-D4DD497FBC1A}" srcOrd="1" destOrd="0" presId="urn:microsoft.com/office/officeart/2005/8/layout/lProcess2"/>
    <dgm:cxn modelId="{9C23C38B-C767-CE49-AB3D-E90A825BB47F}" srcId="{1D4E41F7-00E6-854E-B8B3-ABD2577F31DF}" destId="{EC58EF5C-3BAB-E04D-ADE6-AC088B1D345A}" srcOrd="1" destOrd="0" parTransId="{BE6111E8-25D2-4346-A759-B59F92BA2F16}" sibTransId="{19200DF9-F488-354C-A38E-347F75923F40}"/>
    <dgm:cxn modelId="{A85EDF72-5C15-4A26-B216-85EE19274E37}" type="presParOf" srcId="{D4FDE36B-FB73-D343-B3C4-05DC38D1D84A}" destId="{3661824B-295E-1C43-A9CD-47E14E254F44}" srcOrd="0" destOrd="0" presId="urn:microsoft.com/office/officeart/2005/8/layout/lProcess2"/>
    <dgm:cxn modelId="{05B012C0-F623-4CB8-A3C1-89044BFBD0ED}" type="presParOf" srcId="{3661824B-295E-1C43-A9CD-47E14E254F44}" destId="{D0743D68-6207-2C49-BAC5-267460D31876}" srcOrd="0" destOrd="0" presId="urn:microsoft.com/office/officeart/2005/8/layout/lProcess2"/>
    <dgm:cxn modelId="{69F2DDD8-19AB-4BA2-ADBA-354A52731AED}" type="presParOf" srcId="{3661824B-295E-1C43-A9CD-47E14E254F44}" destId="{68134808-0369-D745-8978-D4DD497FBC1A}" srcOrd="1" destOrd="0" presId="urn:microsoft.com/office/officeart/2005/8/layout/lProcess2"/>
    <dgm:cxn modelId="{ED12DB06-7915-4D70-9BD0-F9D168FCC166}" type="presParOf" srcId="{3661824B-295E-1C43-A9CD-47E14E254F44}" destId="{E961C950-64CA-254F-A8BC-517CE95BE1A2}" srcOrd="2" destOrd="0" presId="urn:microsoft.com/office/officeart/2005/8/layout/lProcess2"/>
    <dgm:cxn modelId="{9D20F46F-B64A-4963-9B20-A4B04A8CD30C}" type="presParOf" srcId="{E961C950-64CA-254F-A8BC-517CE95BE1A2}" destId="{BF7CF436-999D-9A43-BFD4-E057F8AD6FF5}" srcOrd="0" destOrd="0" presId="urn:microsoft.com/office/officeart/2005/8/layout/lProcess2"/>
    <dgm:cxn modelId="{621990D5-1B6F-4C82-AF5F-11AEF8695495}" type="presParOf" srcId="{BF7CF436-999D-9A43-BFD4-E057F8AD6FF5}" destId="{50494CA8-8293-DA46-B4CA-A64FAE5E79C0}" srcOrd="0" destOrd="0" presId="urn:microsoft.com/office/officeart/2005/8/layout/lProcess2"/>
    <dgm:cxn modelId="{0A8E7306-B720-4DA8-AC56-8589308553FC}" type="presParOf" srcId="{BF7CF436-999D-9A43-BFD4-E057F8AD6FF5}" destId="{E9F56575-C5B5-6747-89AD-730E39A67D83}" srcOrd="1" destOrd="0" presId="urn:microsoft.com/office/officeart/2005/8/layout/lProcess2"/>
    <dgm:cxn modelId="{49C7CA0C-8867-4F76-8492-F2A71DBB2113}" type="presParOf" srcId="{BF7CF436-999D-9A43-BFD4-E057F8AD6FF5}" destId="{0BA8AEBD-D490-4E40-B9B0-D2A7B9922739}" srcOrd="2" destOrd="0" presId="urn:microsoft.com/office/officeart/2005/8/layout/lProcess2"/>
    <dgm:cxn modelId="{6CF82B08-4EFB-48C3-8921-8C702F42BA55}" type="presParOf" srcId="{D4FDE36B-FB73-D343-B3C4-05DC38D1D84A}" destId="{EE9C0E29-60F6-FF48-A88D-D6C4E41C70CF}" srcOrd="1" destOrd="0" presId="urn:microsoft.com/office/officeart/2005/8/layout/lProcess2"/>
    <dgm:cxn modelId="{540D7153-0DD9-4547-B8AD-81AAE55097ED}" type="presParOf" srcId="{D4FDE36B-FB73-D343-B3C4-05DC38D1D84A}" destId="{85469C11-B610-4645-8032-C1F228A4CFF9}" srcOrd="2" destOrd="0" presId="urn:microsoft.com/office/officeart/2005/8/layout/lProcess2"/>
    <dgm:cxn modelId="{582807CF-B10A-4243-8220-A2CDEA24B352}" type="presParOf" srcId="{85469C11-B610-4645-8032-C1F228A4CFF9}" destId="{6544C19E-85FB-B641-B07B-F9D17812514E}" srcOrd="0" destOrd="0" presId="urn:microsoft.com/office/officeart/2005/8/layout/lProcess2"/>
    <dgm:cxn modelId="{459AA515-D005-493F-9A3F-34BE9A8BD78C}" type="presParOf" srcId="{85469C11-B610-4645-8032-C1F228A4CFF9}" destId="{AC9C3724-0681-2D4B-9C88-511ABCA939F1}" srcOrd="1" destOrd="0" presId="urn:microsoft.com/office/officeart/2005/8/layout/lProcess2"/>
    <dgm:cxn modelId="{EFE30C0C-E48F-47D9-A7AD-1D15B5E06FFC}" type="presParOf" srcId="{85469C11-B610-4645-8032-C1F228A4CFF9}" destId="{27A224AF-4C4C-6340-A7FE-9D6D8B27E698}" srcOrd="2" destOrd="0" presId="urn:microsoft.com/office/officeart/2005/8/layout/lProcess2"/>
    <dgm:cxn modelId="{E55B25F3-76C7-4981-90E2-6C0F87B6A924}" type="presParOf" srcId="{27A224AF-4C4C-6340-A7FE-9D6D8B27E698}" destId="{E3D06FCF-1C91-1E4E-A3C6-1F19FABD4B4D}" srcOrd="0" destOrd="0" presId="urn:microsoft.com/office/officeart/2005/8/layout/lProcess2"/>
    <dgm:cxn modelId="{8A469DB4-2B5E-40E7-B23F-D8EF75AD61BC}" type="presParOf" srcId="{E3D06FCF-1C91-1E4E-A3C6-1F19FABD4B4D}" destId="{1F7F35AA-8D12-694B-A3C2-0A5614986AC5}" srcOrd="0" destOrd="0" presId="urn:microsoft.com/office/officeart/2005/8/layout/lProcess2"/>
    <dgm:cxn modelId="{29A2AA04-8FA9-4153-B7FB-55FEFF04BCBF}" type="presParOf" srcId="{E3D06FCF-1C91-1E4E-A3C6-1F19FABD4B4D}" destId="{985FE7D4-7B4C-064C-954C-18986F5CE498}" srcOrd="1" destOrd="0" presId="urn:microsoft.com/office/officeart/2005/8/layout/lProcess2"/>
    <dgm:cxn modelId="{1E19E5E8-2938-42DD-B5D1-DA862F3E7E45}" type="presParOf" srcId="{E3D06FCF-1C91-1E4E-A3C6-1F19FABD4B4D}" destId="{7BDC1066-5686-0C41-98D7-BB2ED43C5A8C}" srcOrd="2" destOrd="0" presId="urn:microsoft.com/office/officeart/2005/8/layout/lProcess2"/>
    <dgm:cxn modelId="{67586D6E-0C90-4839-ACE4-228F312DCC42}" type="presParOf" srcId="{E3D06FCF-1C91-1E4E-A3C6-1F19FABD4B4D}" destId="{93086C15-9028-6547-93EA-8D2F88CBB103}" srcOrd="3" destOrd="0" presId="urn:microsoft.com/office/officeart/2005/8/layout/lProcess2"/>
    <dgm:cxn modelId="{BC001501-59BB-4FB4-8A4A-95167664E015}" type="presParOf" srcId="{E3D06FCF-1C91-1E4E-A3C6-1F19FABD4B4D}" destId="{A19AF2E5-0864-3A48-A104-9291461DCCB4}" srcOrd="4" destOrd="0" presId="urn:microsoft.com/office/officeart/2005/8/layout/lProcess2"/>
    <dgm:cxn modelId="{CA207E04-3359-459A-8238-9BFC7376CBED}" type="presParOf" srcId="{E3D06FCF-1C91-1E4E-A3C6-1F19FABD4B4D}" destId="{2130A84E-0D9E-D644-A1CD-4A130000DA57}" srcOrd="5" destOrd="0" presId="urn:microsoft.com/office/officeart/2005/8/layout/lProcess2"/>
    <dgm:cxn modelId="{669F3CEE-3B5A-4B8B-A2F1-8DC190E19DB5}" type="presParOf" srcId="{E3D06FCF-1C91-1E4E-A3C6-1F19FABD4B4D}" destId="{4B35190F-B2F6-1E49-A0B9-12D397428F2E}" srcOrd="6" destOrd="0" presId="urn:microsoft.com/office/officeart/2005/8/layout/lProcess2"/>
    <dgm:cxn modelId="{148E2F84-07EC-4567-A41C-8E3FBC288C93}" type="presParOf" srcId="{E3D06FCF-1C91-1E4E-A3C6-1F19FABD4B4D}" destId="{00A65441-EEC0-7B46-9D4D-A180F71F5218}" srcOrd="7" destOrd="0" presId="urn:microsoft.com/office/officeart/2005/8/layout/lProcess2"/>
    <dgm:cxn modelId="{96AACE77-960D-445F-B5B9-6849B9DDDFED}" type="presParOf" srcId="{E3D06FCF-1C91-1E4E-A3C6-1F19FABD4B4D}" destId="{F73A3697-6EC1-1749-9FDB-3080E603C07C}" srcOrd="8" destOrd="0" presId="urn:microsoft.com/office/officeart/2005/8/layout/lProcess2"/>
    <dgm:cxn modelId="{9ABA7A39-A951-439F-86FC-086BA21EC66B}" type="presParOf" srcId="{D4FDE36B-FB73-D343-B3C4-05DC38D1D84A}" destId="{9E09A0E8-4260-2C4C-8621-4E8D9C5BF9C3}" srcOrd="3" destOrd="0" presId="urn:microsoft.com/office/officeart/2005/8/layout/lProcess2"/>
    <dgm:cxn modelId="{DD0369EB-A925-446F-84F0-2698F7137610}" type="presParOf" srcId="{D4FDE36B-FB73-D343-B3C4-05DC38D1D84A}" destId="{E8ACC3E2-C5BA-9E4B-9E35-078DBC5B0811}" srcOrd="4" destOrd="0" presId="urn:microsoft.com/office/officeart/2005/8/layout/lProcess2"/>
    <dgm:cxn modelId="{0061C7E7-2289-4E0B-9874-478C74B78E75}" type="presParOf" srcId="{E8ACC3E2-C5BA-9E4B-9E35-078DBC5B0811}" destId="{BA7CFF94-A349-A24D-A0C3-3F8B1C47F5EE}" srcOrd="0" destOrd="0" presId="urn:microsoft.com/office/officeart/2005/8/layout/lProcess2"/>
    <dgm:cxn modelId="{B1C7AF71-47E5-4F82-A139-B2592C6B4F2F}" type="presParOf" srcId="{E8ACC3E2-C5BA-9E4B-9E35-078DBC5B0811}" destId="{D62A48B8-CB07-734D-8395-191FAC5D1119}" srcOrd="1" destOrd="0" presId="urn:microsoft.com/office/officeart/2005/8/layout/lProcess2"/>
    <dgm:cxn modelId="{2F7D0C97-4564-401E-9C27-BA4C79F09288}" type="presParOf" srcId="{E8ACC3E2-C5BA-9E4B-9E35-078DBC5B0811}" destId="{78374BB0-A1F4-8B4D-9254-595B06401211}" srcOrd="2" destOrd="0" presId="urn:microsoft.com/office/officeart/2005/8/layout/lProcess2"/>
    <dgm:cxn modelId="{053208E5-1962-4CDA-AEC4-55148730B750}" type="presParOf" srcId="{78374BB0-A1F4-8B4D-9254-595B06401211}" destId="{BB4DE89D-3C5F-0D4C-A92E-6B602B57B439}" srcOrd="0" destOrd="0" presId="urn:microsoft.com/office/officeart/2005/8/layout/lProcess2"/>
    <dgm:cxn modelId="{508D4010-4F4A-4FD6-8CAD-F1C22FB9DB55}" type="presParOf" srcId="{BB4DE89D-3C5F-0D4C-A92E-6B602B57B439}" destId="{04EBA81A-FD26-0F49-8069-EE08B9BE3A34}" srcOrd="0" destOrd="0" presId="urn:microsoft.com/office/officeart/2005/8/layout/lProcess2"/>
    <dgm:cxn modelId="{670084BD-5AE5-4FEF-AD45-B687CCFFF8F7}" type="presParOf" srcId="{BB4DE89D-3C5F-0D4C-A92E-6B602B57B439}" destId="{5F948D54-F899-4045-9BD8-65FE44B98B60}" srcOrd="1" destOrd="0" presId="urn:microsoft.com/office/officeart/2005/8/layout/lProcess2"/>
    <dgm:cxn modelId="{8CCDA583-67F9-477A-A70F-37DF85032110}" type="presParOf" srcId="{BB4DE89D-3C5F-0D4C-A92E-6B602B57B439}" destId="{8E87CD6F-3425-3741-B835-B914C1D7FD9B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C04B86-C07A-DA48-9F7E-9F0170069DEB}" type="doc">
      <dgm:prSet loTypeId="urn:microsoft.com/office/officeart/2005/8/layout/radial4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53A15A69-E8FA-E640-B480-AEDC70BCC12E}">
      <dgm:prSet phldrT="[Text]"/>
      <dgm:spPr>
        <a:xfrm>
          <a:off x="1934155" y="1672131"/>
          <a:ext cx="1402189" cy="1402189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Strateški ciljevi za period </a:t>
          </a:r>
          <a:r>
            <a:rPr lang="bs-Latn-BA">
              <a:solidFill>
                <a:sysClr val="window" lastClr="FFFFFF"/>
              </a:solidFill>
              <a:latin typeface="Latha"/>
              <a:ea typeface="+mn-ea"/>
              <a:cs typeface="+mn-cs"/>
            </a:rPr>
            <a:t>2019</a:t>
          </a:r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.-20</a:t>
          </a:r>
          <a:r>
            <a:rPr lang="bs-Latn-BA">
              <a:solidFill>
                <a:sysClr val="window" lastClr="FFFFFF"/>
              </a:solidFill>
              <a:latin typeface="Latha"/>
              <a:ea typeface="+mn-ea"/>
              <a:cs typeface="+mn-cs"/>
            </a:rPr>
            <a:t>2</a:t>
          </a:r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1.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564A2A5F-1247-2348-B64A-71F793A09800}" type="parTrans" cxnId="{36B665EC-CFB8-0244-A9D7-0B28C9AA77BD}">
      <dgm:prSet/>
      <dgm:spPr/>
      <dgm:t>
        <a:bodyPr/>
        <a:lstStyle/>
        <a:p>
          <a:endParaRPr lang="en-US"/>
        </a:p>
      </dgm:t>
    </dgm:pt>
    <dgm:pt modelId="{BCDB1E98-0409-1C49-B8C9-E8F22C837C14}" type="sibTrans" cxnId="{36B665EC-CFB8-0244-A9D7-0B28C9AA77BD}">
      <dgm:prSet/>
      <dgm:spPr/>
      <dgm:t>
        <a:bodyPr/>
        <a:lstStyle/>
        <a:p>
          <a:endParaRPr lang="en-US"/>
        </a:p>
      </dgm:t>
    </dgm:pt>
    <dgm:pt modelId="{53D50B67-A85A-7E47-ABF5-28C1E916EF32}">
      <dgm:prSet phldrT="[Text]"/>
      <dgm:spPr>
        <a:xfrm>
          <a:off x="461932" y="784987"/>
          <a:ext cx="1332080" cy="1065664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broj starih predmeta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E5D2A5C3-2E2B-7241-8C74-C316B912B7EA}" type="parTrans" cxnId="{2BB36E2A-9ECA-6E43-A35D-D07486F1E083}">
      <dgm:prSet/>
      <dgm:spPr>
        <a:xfrm rot="12900000">
          <a:off x="1030649" y="1426680"/>
          <a:ext cx="1076308" cy="399624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67ED8E9A-27A2-E74B-8A95-6542D5265003}" type="sibTrans" cxnId="{2BB36E2A-9ECA-6E43-A35D-D07486F1E083}">
      <dgm:prSet/>
      <dgm:spPr/>
      <dgm:t>
        <a:bodyPr/>
        <a:lstStyle/>
        <a:p>
          <a:endParaRPr lang="en-US"/>
        </a:p>
      </dgm:t>
    </dgm:pt>
    <dgm:pt modelId="{5EBDFE95-0243-3545-B723-43A750F198BE}">
      <dgm:prSet phldrT="[Text]"/>
      <dgm:spPr>
        <a:xfrm>
          <a:off x="1969209" y="348"/>
          <a:ext cx="1332080" cy="1065664"/>
        </a:xfrm>
        <a:gradFill rotWithShape="0">
          <a:gsLst>
            <a:gs pos="0">
              <a:srgbClr val="8064A2">
                <a:hueOff val="-2232386"/>
                <a:satOff val="13449"/>
                <a:lumOff val="1078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2232386"/>
                <a:satOff val="13449"/>
                <a:lumOff val="1078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a-IN">
              <a:solidFill>
                <a:sysClr val="window" lastClr="FFFFFF"/>
              </a:solidFill>
              <a:latin typeface="Latha"/>
              <a:ea typeface="+mn-ea"/>
              <a:cs typeface="+mn-cs"/>
            </a:rPr>
            <a:t>Povećati efikasnost i kvalitet u radu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52AE3ED6-8F9D-CD4C-9182-8DF1913B0525}" type="parTrans" cxnId="{5B548AD6-F788-AE41-A735-98870409F83D}">
      <dgm:prSet/>
      <dgm:spPr>
        <a:xfrm rot="16200000">
          <a:off x="2097095" y="871522"/>
          <a:ext cx="1076308" cy="399624"/>
        </a:xfrm>
        <a:gradFill rotWithShape="0">
          <a:gsLst>
            <a:gs pos="0">
              <a:srgbClr val="8064A2">
                <a:hueOff val="-2232386"/>
                <a:satOff val="13449"/>
                <a:lumOff val="1078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2232386"/>
                <a:satOff val="13449"/>
                <a:lumOff val="1078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29915A6F-718E-3347-8B29-CA6176663CCB}" type="sibTrans" cxnId="{5B548AD6-F788-AE41-A735-98870409F83D}">
      <dgm:prSet/>
      <dgm:spPr/>
      <dgm:t>
        <a:bodyPr/>
        <a:lstStyle/>
        <a:p>
          <a:endParaRPr lang="en-US"/>
        </a:p>
      </dgm:t>
    </dgm:pt>
    <dgm:pt modelId="{3EC0E5D3-9629-184B-B666-FD0C2C96C513}">
      <dgm:prSet phldrT="[Text]"/>
      <dgm:spPr>
        <a:xfrm>
          <a:off x="3476486" y="784987"/>
          <a:ext cx="1332080" cy="1065664"/>
        </a:xfrm>
        <a:gradFill rotWithShape="0">
          <a:gsLst>
            <a:gs pos="0">
              <a:srgbClr val="8064A2">
                <a:hueOff val="-4464771"/>
                <a:satOff val="26899"/>
                <a:lumOff val="2156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4464771"/>
                <a:satOff val="26899"/>
                <a:lumOff val="2156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hr-BA"/>
            <a:t>Povećati kvantitet i kvalitet informacija u skladu sa planom praćenja i evaluacije PR u tužilaštvima</a:t>
          </a:r>
          <a:endParaRPr lang="en-US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gm:t>
    </dgm:pt>
    <dgm:pt modelId="{C2EAB6DD-AF03-2243-AF8F-B1E1DE633439}" type="parTrans" cxnId="{C8BC5608-0036-8943-B40E-3D0FBEBA72E5}">
      <dgm:prSet/>
      <dgm:spPr>
        <a:xfrm rot="19500000">
          <a:off x="3163542" y="1426680"/>
          <a:ext cx="1076308" cy="399624"/>
        </a:xfrm>
        <a:gradFill rotWithShape="0">
          <a:gsLst>
            <a:gs pos="0">
              <a:srgbClr val="8064A2">
                <a:hueOff val="-4464771"/>
                <a:satOff val="26899"/>
                <a:lumOff val="2156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4464771"/>
                <a:satOff val="26899"/>
                <a:lumOff val="2156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en-US"/>
        </a:p>
      </dgm:t>
    </dgm:pt>
    <dgm:pt modelId="{88A641E7-39F8-2347-8565-CB9E686AEFF9}" type="sibTrans" cxnId="{C8BC5608-0036-8943-B40E-3D0FBEBA72E5}">
      <dgm:prSet/>
      <dgm:spPr/>
      <dgm:t>
        <a:bodyPr/>
        <a:lstStyle/>
        <a:p>
          <a:endParaRPr lang="en-US"/>
        </a:p>
      </dgm:t>
    </dgm:pt>
    <dgm:pt modelId="{191C3760-0548-9744-AF31-0A7E3C152D3E}" type="pres">
      <dgm:prSet presAssocID="{19C04B86-C07A-DA48-9F7E-9F0170069DE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bs-Latn-BA"/>
        </a:p>
      </dgm:t>
    </dgm:pt>
    <dgm:pt modelId="{31054A79-801D-B247-A3D2-975EE36E608A}" type="pres">
      <dgm:prSet presAssocID="{53A15A69-E8FA-E640-B480-AEDC70BCC12E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53BB30D-C0D5-9245-8337-1B1329FD24E7}" type="pres">
      <dgm:prSet presAssocID="{E5D2A5C3-2E2B-7241-8C74-C316B912B7EA}" presName="parTrans" presStyleLbl="bgSibTrans2D1" presStyleIdx="0" presStyleCnt="3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bs-Latn-BA"/>
        </a:p>
      </dgm:t>
    </dgm:pt>
    <dgm:pt modelId="{35047C52-69C6-B846-A387-F229E05705B3}" type="pres">
      <dgm:prSet presAssocID="{53D50B67-A85A-7E47-ABF5-28C1E916EF32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4770991-A1B3-1046-B78B-39C821E1DBB4}" type="pres">
      <dgm:prSet presAssocID="{52AE3ED6-8F9D-CD4C-9182-8DF1913B0525}" presName="parTrans" presStyleLbl="bgSibTrans2D1" presStyleIdx="1" presStyleCnt="3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bs-Latn-BA"/>
        </a:p>
      </dgm:t>
    </dgm:pt>
    <dgm:pt modelId="{0C75568B-D348-564B-BB1C-FF801D584B25}" type="pres">
      <dgm:prSet presAssocID="{5EBDFE95-0243-3545-B723-43A750F198BE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39F5B92-46B5-6B40-8DBB-99A150EE072C}" type="pres">
      <dgm:prSet presAssocID="{C2EAB6DD-AF03-2243-AF8F-B1E1DE633439}" presName="parTrans" presStyleLbl="bgSibTrans2D1" presStyleIdx="2" presStyleCnt="3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bs-Latn-BA"/>
        </a:p>
      </dgm:t>
    </dgm:pt>
    <dgm:pt modelId="{DFEC33B4-C6E7-DC43-A44F-94E5FAD83E81}" type="pres">
      <dgm:prSet presAssocID="{3EC0E5D3-9629-184B-B666-FD0C2C96C513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C059658A-CF11-4B4C-A1E5-9C585DA621BC}" type="presOf" srcId="{3EC0E5D3-9629-184B-B666-FD0C2C96C513}" destId="{DFEC33B4-C6E7-DC43-A44F-94E5FAD83E81}" srcOrd="0" destOrd="0" presId="urn:microsoft.com/office/officeart/2005/8/layout/radial4"/>
    <dgm:cxn modelId="{893760AF-3493-4CE3-A123-83B95B743052}" type="presOf" srcId="{19C04B86-C07A-DA48-9F7E-9F0170069DEB}" destId="{191C3760-0548-9744-AF31-0A7E3C152D3E}" srcOrd="0" destOrd="0" presId="urn:microsoft.com/office/officeart/2005/8/layout/radial4"/>
    <dgm:cxn modelId="{E3EDDAC8-C867-45A7-AD10-3D7F50A9B0C9}" type="presOf" srcId="{53A15A69-E8FA-E640-B480-AEDC70BCC12E}" destId="{31054A79-801D-B247-A3D2-975EE36E608A}" srcOrd="0" destOrd="0" presId="urn:microsoft.com/office/officeart/2005/8/layout/radial4"/>
    <dgm:cxn modelId="{5B548AD6-F788-AE41-A735-98870409F83D}" srcId="{53A15A69-E8FA-E640-B480-AEDC70BCC12E}" destId="{5EBDFE95-0243-3545-B723-43A750F198BE}" srcOrd="1" destOrd="0" parTransId="{52AE3ED6-8F9D-CD4C-9182-8DF1913B0525}" sibTransId="{29915A6F-718E-3347-8B29-CA6176663CCB}"/>
    <dgm:cxn modelId="{C8BC5608-0036-8943-B40E-3D0FBEBA72E5}" srcId="{53A15A69-E8FA-E640-B480-AEDC70BCC12E}" destId="{3EC0E5D3-9629-184B-B666-FD0C2C96C513}" srcOrd="2" destOrd="0" parTransId="{C2EAB6DD-AF03-2243-AF8F-B1E1DE633439}" sibTransId="{88A641E7-39F8-2347-8565-CB9E686AEFF9}"/>
    <dgm:cxn modelId="{800BB39B-13E1-4908-9B75-A3D43F2A6543}" type="presOf" srcId="{5EBDFE95-0243-3545-B723-43A750F198BE}" destId="{0C75568B-D348-564B-BB1C-FF801D584B25}" srcOrd="0" destOrd="0" presId="urn:microsoft.com/office/officeart/2005/8/layout/radial4"/>
    <dgm:cxn modelId="{727988F9-D577-44E0-9421-8D591FBE121D}" type="presOf" srcId="{52AE3ED6-8F9D-CD4C-9182-8DF1913B0525}" destId="{24770991-A1B3-1046-B78B-39C821E1DBB4}" srcOrd="0" destOrd="0" presId="urn:microsoft.com/office/officeart/2005/8/layout/radial4"/>
    <dgm:cxn modelId="{2BB36E2A-9ECA-6E43-A35D-D07486F1E083}" srcId="{53A15A69-E8FA-E640-B480-AEDC70BCC12E}" destId="{53D50B67-A85A-7E47-ABF5-28C1E916EF32}" srcOrd="0" destOrd="0" parTransId="{E5D2A5C3-2E2B-7241-8C74-C316B912B7EA}" sibTransId="{67ED8E9A-27A2-E74B-8A95-6542D5265003}"/>
    <dgm:cxn modelId="{B8C12F56-E1FD-4061-B6C5-16F31744F658}" type="presOf" srcId="{53D50B67-A85A-7E47-ABF5-28C1E916EF32}" destId="{35047C52-69C6-B846-A387-F229E05705B3}" srcOrd="0" destOrd="0" presId="urn:microsoft.com/office/officeart/2005/8/layout/radial4"/>
    <dgm:cxn modelId="{36B665EC-CFB8-0244-A9D7-0B28C9AA77BD}" srcId="{19C04B86-C07A-DA48-9F7E-9F0170069DEB}" destId="{53A15A69-E8FA-E640-B480-AEDC70BCC12E}" srcOrd="0" destOrd="0" parTransId="{564A2A5F-1247-2348-B64A-71F793A09800}" sibTransId="{BCDB1E98-0409-1C49-B8C9-E8F22C837C14}"/>
    <dgm:cxn modelId="{9F7E65E6-3A12-4486-BAB3-B9DD1F4AF846}" type="presOf" srcId="{E5D2A5C3-2E2B-7241-8C74-C316B912B7EA}" destId="{853BB30D-C0D5-9245-8337-1B1329FD24E7}" srcOrd="0" destOrd="0" presId="urn:microsoft.com/office/officeart/2005/8/layout/radial4"/>
    <dgm:cxn modelId="{6AD87F6B-4EF1-486C-A358-78068AACDFC1}" type="presOf" srcId="{C2EAB6DD-AF03-2243-AF8F-B1E1DE633439}" destId="{839F5B92-46B5-6B40-8DBB-99A150EE072C}" srcOrd="0" destOrd="0" presId="urn:microsoft.com/office/officeart/2005/8/layout/radial4"/>
    <dgm:cxn modelId="{6F868E86-B007-4177-BB89-5753627812CF}" type="presParOf" srcId="{191C3760-0548-9744-AF31-0A7E3C152D3E}" destId="{31054A79-801D-B247-A3D2-975EE36E608A}" srcOrd="0" destOrd="0" presId="urn:microsoft.com/office/officeart/2005/8/layout/radial4"/>
    <dgm:cxn modelId="{9E1F4EED-230B-4436-AFF2-C411114A7F46}" type="presParOf" srcId="{191C3760-0548-9744-AF31-0A7E3C152D3E}" destId="{853BB30D-C0D5-9245-8337-1B1329FD24E7}" srcOrd="1" destOrd="0" presId="urn:microsoft.com/office/officeart/2005/8/layout/radial4"/>
    <dgm:cxn modelId="{421E9CC9-5A68-4C1B-B3E8-6326ABC3B84F}" type="presParOf" srcId="{191C3760-0548-9744-AF31-0A7E3C152D3E}" destId="{35047C52-69C6-B846-A387-F229E05705B3}" srcOrd="2" destOrd="0" presId="urn:microsoft.com/office/officeart/2005/8/layout/radial4"/>
    <dgm:cxn modelId="{2F9D7EE9-461B-46BB-84F1-797F74E18AC6}" type="presParOf" srcId="{191C3760-0548-9744-AF31-0A7E3C152D3E}" destId="{24770991-A1B3-1046-B78B-39C821E1DBB4}" srcOrd="3" destOrd="0" presId="urn:microsoft.com/office/officeart/2005/8/layout/radial4"/>
    <dgm:cxn modelId="{2734D316-D7C0-4496-8CF6-8AE4C6B57D9C}" type="presParOf" srcId="{191C3760-0548-9744-AF31-0A7E3C152D3E}" destId="{0C75568B-D348-564B-BB1C-FF801D584B25}" srcOrd="4" destOrd="0" presId="urn:microsoft.com/office/officeart/2005/8/layout/radial4"/>
    <dgm:cxn modelId="{DCABD723-084B-4373-9816-67A970D5F865}" type="presParOf" srcId="{191C3760-0548-9744-AF31-0A7E3C152D3E}" destId="{839F5B92-46B5-6B40-8DBB-99A150EE072C}" srcOrd="5" destOrd="0" presId="urn:microsoft.com/office/officeart/2005/8/layout/radial4"/>
    <dgm:cxn modelId="{9BE0BE3A-9A9D-4715-94B2-937921CE019D}" type="presParOf" srcId="{191C3760-0548-9744-AF31-0A7E3C152D3E}" destId="{DFEC33B4-C6E7-DC43-A44F-94E5FAD83E81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743D68-6207-2C49-BAC5-267460D31876}">
      <dsp:nvSpPr>
        <dsp:cNvPr id="0" name=""/>
        <dsp:cNvSpPr/>
      </dsp:nvSpPr>
      <dsp:spPr>
        <a:xfrm>
          <a:off x="2188" y="0"/>
          <a:ext cx="1658014" cy="4316819"/>
        </a:xfrm>
        <a:prstGeom prst="roundRect">
          <a:avLst>
            <a:gd name="adj" fmla="val 10000"/>
          </a:avLst>
        </a:prstGeom>
        <a:solidFill>
          <a:srgbClr val="8064A2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atha"/>
              <a:ea typeface="+mn-ea"/>
              <a:cs typeface="+mn-cs"/>
            </a:rPr>
            <a:t>Smanjiti broj starih predmeta </a:t>
          </a: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188" y="0"/>
        <a:ext cx="1658014" cy="1295045"/>
      </dsp:txXfrm>
    </dsp:sp>
    <dsp:sp modelId="{50494CA8-8293-DA46-B4CA-A64FAE5E79C0}">
      <dsp:nvSpPr>
        <dsp:cNvPr id="0" name=""/>
        <dsp:cNvSpPr/>
      </dsp:nvSpPr>
      <dsp:spPr>
        <a:xfrm>
          <a:off x="167990" y="1296310"/>
          <a:ext cx="1326411" cy="13015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8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broj neriješenih KT predmeta starijih od dvije godine</a:t>
          </a:r>
          <a:endParaRPr lang="en-US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206112" y="1334432"/>
        <a:ext cx="1250167" cy="1225335"/>
      </dsp:txXfrm>
    </dsp:sp>
    <dsp:sp modelId="{0BA8AEBD-D490-4E40-B9B0-D2A7B9922739}">
      <dsp:nvSpPr>
        <dsp:cNvPr id="0" name=""/>
        <dsp:cNvSpPr/>
      </dsp:nvSpPr>
      <dsp:spPr>
        <a:xfrm>
          <a:off x="167990" y="2798133"/>
          <a:ext cx="1326411" cy="13015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558096"/>
                <a:satOff val="3362"/>
                <a:lumOff val="270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558096"/>
                <a:satOff val="3362"/>
                <a:lumOff val="27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8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broj neriješenih KTA predmeta starijih od dvije godine</a:t>
          </a:r>
          <a:endParaRPr lang="en-US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206112" y="2836255"/>
        <a:ext cx="1250167" cy="1225335"/>
      </dsp:txXfrm>
    </dsp:sp>
    <dsp:sp modelId="{6544C19E-85FB-B641-B07B-F9D17812514E}">
      <dsp:nvSpPr>
        <dsp:cNvPr id="0" name=""/>
        <dsp:cNvSpPr/>
      </dsp:nvSpPr>
      <dsp:spPr>
        <a:xfrm>
          <a:off x="1784554" y="0"/>
          <a:ext cx="1658014" cy="4316819"/>
        </a:xfrm>
        <a:prstGeom prst="roundRect">
          <a:avLst>
            <a:gd name="adj" fmla="val 10000"/>
          </a:avLst>
        </a:prstGeom>
        <a:solidFill>
          <a:srgbClr val="8064A2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Latha"/>
              <a:ea typeface="+mn-ea"/>
              <a:cs typeface="+mn-cs"/>
            </a:rPr>
            <a:t>Povećati efikasnost i kvalitet rada</a:t>
          </a:r>
          <a:endParaRPr 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784554" y="0"/>
        <a:ext cx="1658014" cy="1295045"/>
      </dsp:txXfrm>
    </dsp:sp>
    <dsp:sp modelId="{1F7F35AA-8D12-694B-A3C2-0A5614986AC5}">
      <dsp:nvSpPr>
        <dsp:cNvPr id="0" name=""/>
        <dsp:cNvSpPr/>
      </dsp:nvSpPr>
      <dsp:spPr>
        <a:xfrm>
          <a:off x="1950355" y="1295862"/>
          <a:ext cx="1326411" cy="4993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1116193"/>
                <a:satOff val="6725"/>
                <a:lumOff val="539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1116193"/>
                <a:satOff val="6725"/>
                <a:lumOff val="539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8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Skratiti prosječnu dužinu trajanja predmeta</a:t>
          </a:r>
          <a:endParaRPr lang="en-US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1964982" y="1310489"/>
        <a:ext cx="1297157" cy="470141"/>
      </dsp:txXfrm>
    </dsp:sp>
    <dsp:sp modelId="{7BDC1066-5686-0C41-98D7-BB2ED43C5A8C}">
      <dsp:nvSpPr>
        <dsp:cNvPr id="0" name=""/>
        <dsp:cNvSpPr/>
      </dsp:nvSpPr>
      <dsp:spPr>
        <a:xfrm>
          <a:off x="1950355" y="1872088"/>
          <a:ext cx="1326411" cy="4993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1674289"/>
                <a:satOff val="10087"/>
                <a:lumOff val="809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1674289"/>
                <a:satOff val="10087"/>
                <a:lumOff val="809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8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Povećati omjer osuđujućih presuda u odnosu na </a:t>
          </a:r>
          <a:r>
            <a:rPr lang="bs-Latn-BA" sz="8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ukupan broj presuda</a:t>
          </a:r>
          <a:endParaRPr lang="en-US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1964982" y="1886715"/>
        <a:ext cx="1297157" cy="470141"/>
      </dsp:txXfrm>
    </dsp:sp>
    <dsp:sp modelId="{A19AF2E5-0864-3A48-A104-9291461DCCB4}">
      <dsp:nvSpPr>
        <dsp:cNvPr id="0" name=""/>
        <dsp:cNvSpPr/>
      </dsp:nvSpPr>
      <dsp:spPr>
        <a:xfrm>
          <a:off x="1950355" y="2448314"/>
          <a:ext cx="1326411" cy="4993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2232386"/>
                <a:satOff val="13449"/>
                <a:lumOff val="1078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2232386"/>
                <a:satOff val="13449"/>
                <a:lumOff val="1078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8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omjer uvaženih pritužbi u odnosu na uložene pritužbe</a:t>
          </a:r>
          <a:endParaRPr lang="en-US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1964982" y="2462941"/>
        <a:ext cx="1297157" cy="470141"/>
      </dsp:txXfrm>
    </dsp:sp>
    <dsp:sp modelId="{4B35190F-B2F6-1E49-A0B9-12D397428F2E}">
      <dsp:nvSpPr>
        <dsp:cNvPr id="0" name=""/>
        <dsp:cNvSpPr/>
      </dsp:nvSpPr>
      <dsp:spPr>
        <a:xfrm>
          <a:off x="1950355" y="3024539"/>
          <a:ext cx="1326411" cy="4993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2790482"/>
                <a:satOff val="16812"/>
                <a:lumOff val="1348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2790482"/>
                <a:satOff val="16812"/>
                <a:lumOff val="1348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8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broj neriješenih prijava</a:t>
          </a:r>
          <a:endParaRPr lang="en-US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1964982" y="3039166"/>
        <a:ext cx="1297157" cy="470141"/>
      </dsp:txXfrm>
    </dsp:sp>
    <dsp:sp modelId="{F73A3697-6EC1-1749-9FDB-3080E603C07C}">
      <dsp:nvSpPr>
        <dsp:cNvPr id="0" name=""/>
        <dsp:cNvSpPr/>
      </dsp:nvSpPr>
      <dsp:spPr>
        <a:xfrm>
          <a:off x="1950355" y="3600765"/>
          <a:ext cx="1326411" cy="4993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3348579"/>
                <a:satOff val="20174"/>
                <a:lumOff val="1617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3348579"/>
                <a:satOff val="20174"/>
                <a:lumOff val="1617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8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broj neriješenih istraga</a:t>
          </a:r>
          <a:endParaRPr lang="en-US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1964982" y="3615392"/>
        <a:ext cx="1297157" cy="470141"/>
      </dsp:txXfrm>
    </dsp:sp>
    <dsp:sp modelId="{BA7CFF94-A349-A24D-A0C3-3F8B1C47F5EE}">
      <dsp:nvSpPr>
        <dsp:cNvPr id="0" name=""/>
        <dsp:cNvSpPr/>
      </dsp:nvSpPr>
      <dsp:spPr>
        <a:xfrm>
          <a:off x="3566919" y="0"/>
          <a:ext cx="1736537" cy="4316819"/>
        </a:xfrm>
        <a:prstGeom prst="roundRect">
          <a:avLst>
            <a:gd name="adj" fmla="val 10000"/>
          </a:avLst>
        </a:prstGeom>
        <a:solidFill>
          <a:srgbClr val="8064A2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500" kern="1200"/>
            <a:t>Povećati kvantitet i kvalitet informacija u skladu sa planom praćenja i evaluacije PR u tužilaštvima</a:t>
          </a:r>
          <a:endParaRPr lang="hr-HR" sz="1500" b="0" kern="1200">
            <a:latin typeface="Latha (body)"/>
          </a:endParaRPr>
        </a:p>
      </dsp:txBody>
      <dsp:txXfrm>
        <a:off x="3566919" y="0"/>
        <a:ext cx="1736537" cy="1295045"/>
      </dsp:txXfrm>
    </dsp:sp>
    <dsp:sp modelId="{04EBA81A-FD26-0F49-8069-EE08B9BE3A34}">
      <dsp:nvSpPr>
        <dsp:cNvPr id="0" name=""/>
        <dsp:cNvSpPr/>
      </dsp:nvSpPr>
      <dsp:spPr>
        <a:xfrm>
          <a:off x="3771982" y="1296310"/>
          <a:ext cx="1326411" cy="13015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3906675"/>
                <a:satOff val="23537"/>
                <a:lumOff val="1887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3906675"/>
                <a:satOff val="23537"/>
                <a:lumOff val="1887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800" kern="1200"/>
            <a:t>Povećati kvalitet informacija u skladu sa planom praćenja i evaluacije PR u tužilaštvima</a:t>
          </a:r>
          <a:endParaRPr lang="en-US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3810104" y="1334432"/>
        <a:ext cx="1250167" cy="1225335"/>
      </dsp:txXfrm>
    </dsp:sp>
    <dsp:sp modelId="{8E87CD6F-3425-3741-B835-B914C1D7FD9B}">
      <dsp:nvSpPr>
        <dsp:cNvPr id="0" name=""/>
        <dsp:cNvSpPr/>
      </dsp:nvSpPr>
      <dsp:spPr>
        <a:xfrm>
          <a:off x="3771982" y="2798133"/>
          <a:ext cx="1326411" cy="13015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4464771"/>
                <a:satOff val="26899"/>
                <a:lumOff val="2156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4464771"/>
                <a:satOff val="26899"/>
                <a:lumOff val="2156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800" kern="1200"/>
            <a:t>Povećati kvantitet informacija u skladu sa planom praćenja i evaluacije PR u tužilaštvima</a:t>
          </a:r>
          <a:endParaRPr lang="en-US" sz="8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3810104" y="2836255"/>
        <a:ext cx="1250167" cy="12253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054A79-801D-B247-A3D2-975EE36E608A}">
      <dsp:nvSpPr>
        <dsp:cNvPr id="0" name=""/>
        <dsp:cNvSpPr/>
      </dsp:nvSpPr>
      <dsp:spPr>
        <a:xfrm>
          <a:off x="1923732" y="1954284"/>
          <a:ext cx="1423035" cy="1423035"/>
        </a:xfrm>
        <a:prstGeom prst="ellips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14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Strateški ciljevi za period </a:t>
          </a:r>
          <a:r>
            <a:rPr lang="bs-Latn-BA" sz="14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2019</a:t>
          </a:r>
          <a:r>
            <a:rPr lang="ta-IN" sz="14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.-20</a:t>
          </a:r>
          <a:r>
            <a:rPr lang="bs-Latn-BA" sz="14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2</a:t>
          </a:r>
          <a:r>
            <a:rPr lang="ta-IN" sz="14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1.</a:t>
          </a:r>
          <a:endParaRPr lang="en-US" sz="14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2132131" y="2162683"/>
        <a:ext cx="1006237" cy="1006237"/>
      </dsp:txXfrm>
    </dsp:sp>
    <dsp:sp modelId="{853BB30D-C0D5-9245-8337-1B1329FD24E7}">
      <dsp:nvSpPr>
        <dsp:cNvPr id="0" name=""/>
        <dsp:cNvSpPr/>
      </dsp:nvSpPr>
      <dsp:spPr>
        <a:xfrm rot="12900000">
          <a:off x="774521" y="1627495"/>
          <a:ext cx="1334954" cy="40556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047C52-69C6-B846-A387-F229E05705B3}">
      <dsp:nvSpPr>
        <dsp:cNvPr id="0" name=""/>
        <dsp:cNvSpPr/>
      </dsp:nvSpPr>
      <dsp:spPr>
        <a:xfrm>
          <a:off x="219291" y="906675"/>
          <a:ext cx="1351883" cy="108150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11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Smanjiti broj starih predmeta</a:t>
          </a:r>
          <a:endParaRPr lang="en-US" sz="11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250967" y="938351"/>
        <a:ext cx="1288531" cy="1018154"/>
      </dsp:txXfrm>
    </dsp:sp>
    <dsp:sp modelId="{24770991-A1B3-1046-B78B-39C821E1DBB4}">
      <dsp:nvSpPr>
        <dsp:cNvPr id="0" name=""/>
        <dsp:cNvSpPr/>
      </dsp:nvSpPr>
      <dsp:spPr>
        <a:xfrm rot="16200000">
          <a:off x="1967772" y="1006328"/>
          <a:ext cx="1334954" cy="40556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8064A2">
                <a:hueOff val="-2232386"/>
                <a:satOff val="13449"/>
                <a:lumOff val="1078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2232386"/>
                <a:satOff val="13449"/>
                <a:lumOff val="1078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C75568B-D348-564B-BB1C-FF801D584B25}">
      <dsp:nvSpPr>
        <dsp:cNvPr id="0" name=""/>
        <dsp:cNvSpPr/>
      </dsp:nvSpPr>
      <dsp:spPr>
        <a:xfrm>
          <a:off x="1959308" y="880"/>
          <a:ext cx="1351883" cy="108150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2232386"/>
                <a:satOff val="13449"/>
                <a:lumOff val="1078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2232386"/>
                <a:satOff val="13449"/>
                <a:lumOff val="1078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a-IN" sz="1100" kern="1200">
              <a:solidFill>
                <a:sysClr val="window" lastClr="FFFFFF"/>
              </a:solidFill>
              <a:latin typeface="Latha"/>
              <a:ea typeface="+mn-ea"/>
              <a:cs typeface="+mn-cs"/>
            </a:rPr>
            <a:t>Povećati efikasnost i kvalitet u radu</a:t>
          </a:r>
          <a:endParaRPr lang="en-US" sz="11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1990984" y="32556"/>
        <a:ext cx="1288531" cy="1018154"/>
      </dsp:txXfrm>
    </dsp:sp>
    <dsp:sp modelId="{839F5B92-46B5-6B40-8DBB-99A150EE072C}">
      <dsp:nvSpPr>
        <dsp:cNvPr id="0" name=""/>
        <dsp:cNvSpPr/>
      </dsp:nvSpPr>
      <dsp:spPr>
        <a:xfrm rot="19500000">
          <a:off x="3161023" y="1627495"/>
          <a:ext cx="1334954" cy="40556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8064A2">
                <a:hueOff val="-4464771"/>
                <a:satOff val="26899"/>
                <a:lumOff val="2156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4464771"/>
                <a:satOff val="26899"/>
                <a:lumOff val="2156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EC33B4-C6E7-DC43-A44F-94E5FAD83E81}">
      <dsp:nvSpPr>
        <dsp:cNvPr id="0" name=""/>
        <dsp:cNvSpPr/>
      </dsp:nvSpPr>
      <dsp:spPr>
        <a:xfrm>
          <a:off x="3699324" y="906675"/>
          <a:ext cx="1351883" cy="108150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-4464771"/>
                <a:satOff val="26899"/>
                <a:lumOff val="2156"/>
                <a:alphaOff val="0"/>
                <a:tint val="100000"/>
                <a:shade val="100000"/>
                <a:satMod val="130000"/>
              </a:srgbClr>
            </a:gs>
            <a:gs pos="100000">
              <a:srgbClr val="8064A2">
                <a:hueOff val="-4464771"/>
                <a:satOff val="26899"/>
                <a:lumOff val="2156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100" kern="1200"/>
            <a:t>Povećati kvantitet i kvalitet informacija u skladu sa planom praćenja i evaluacije PR u tužilaštvima</a:t>
          </a:r>
          <a:endParaRPr lang="en-US" sz="1100" kern="1200">
            <a:solidFill>
              <a:sysClr val="window" lastClr="FFFFFF"/>
            </a:solidFill>
            <a:latin typeface="Cambria"/>
            <a:ea typeface="+mn-ea"/>
            <a:cs typeface="+mn-cs"/>
          </a:endParaRPr>
        </a:p>
      </dsp:txBody>
      <dsp:txXfrm>
        <a:off x="3731000" y="938351"/>
        <a:ext cx="1288531" cy="1018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C389-3179-452F-889E-63AB9D7B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39078</CharactersWithSpaces>
  <SharedDoc>false</SharedDoc>
  <HyperlinkBase/>
  <HLinks>
    <vt:vector size="150" baseType="variant">
      <vt:variant>
        <vt:i4>1310734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_Toc442215108</vt:lpwstr>
      </vt:variant>
      <vt:variant>
        <vt:i4>1310721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_Toc442215107</vt:lpwstr>
      </vt:variant>
      <vt:variant>
        <vt:i4>1310720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_Toc442215106</vt:lpwstr>
      </vt:variant>
      <vt:variant>
        <vt:i4>1310722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_Toc442215104</vt:lpwstr>
      </vt:variant>
      <vt:variant>
        <vt:i4>1310725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_Toc442215103</vt:lpwstr>
      </vt:variant>
      <vt:variant>
        <vt:i4>1310724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_Toc442215102</vt:lpwstr>
      </vt:variant>
      <vt:variant>
        <vt:i4>1310727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_Toc442215101</vt:lpwstr>
      </vt:variant>
      <vt:variant>
        <vt:i4>1310726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_Toc442215100</vt:lpwstr>
      </vt:variant>
      <vt:variant>
        <vt:i4>1900558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_Toc442215099</vt:lpwstr>
      </vt:variant>
      <vt:variant>
        <vt:i4>1900549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_Toc442215092</vt:lpwstr>
      </vt:variant>
      <vt:variant>
        <vt:i4>1900550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_Toc442215091</vt:lpwstr>
      </vt:variant>
      <vt:variant>
        <vt:i4>1900551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_Toc442215090</vt:lpwstr>
      </vt:variant>
      <vt:variant>
        <vt:i4>1835022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_Toc442215089</vt:lpwstr>
      </vt:variant>
      <vt:variant>
        <vt:i4>1835023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_Toc442215088</vt:lpwstr>
      </vt:variant>
      <vt:variant>
        <vt:i4>1835008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_Toc442215087</vt:lpwstr>
      </vt:variant>
      <vt:variant>
        <vt:i4>1835012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_Toc442215083</vt:lpwstr>
      </vt:variant>
      <vt:variant>
        <vt:i4>1835015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_Toc442215080</vt:lpwstr>
      </vt:variant>
      <vt:variant>
        <vt:i4>1245198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_Toc442215079</vt:lpwstr>
      </vt:variant>
      <vt:variant>
        <vt:i4>1245199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_Toc442215078</vt:lpwstr>
      </vt:variant>
      <vt:variant>
        <vt:i4>1245184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_Toc442215077</vt:lpwstr>
      </vt:variant>
      <vt:variant>
        <vt:i4>1245185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_Toc442215076</vt:lpwstr>
      </vt:variant>
      <vt:variant>
        <vt:i4>1245186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_Toc442215075</vt:lpwstr>
      </vt:variant>
      <vt:variant>
        <vt:i4>1245187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_Toc442215074</vt:lpwstr>
      </vt:variant>
      <vt:variant>
        <vt:i4>1245188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_Toc442215073</vt:lpwstr>
      </vt:variant>
      <vt:variant>
        <vt:i4>1245189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_Toc442215072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Suskic-Basic</dc:creator>
  <cp:lastModifiedBy>Azra Krivic</cp:lastModifiedBy>
  <cp:revision>2</cp:revision>
  <cp:lastPrinted>2017-12-27T09:42:00Z</cp:lastPrinted>
  <dcterms:created xsi:type="dcterms:W3CDTF">2019-05-06T08:05:00Z</dcterms:created>
  <dcterms:modified xsi:type="dcterms:W3CDTF">2019-05-06T08:05:00Z</dcterms:modified>
</cp:coreProperties>
</file>