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1248E8" w14:textId="77777777" w:rsidR="00A11169" w:rsidRPr="009C5D1F" w:rsidRDefault="00A11169">
      <w:pPr>
        <w:rPr>
          <w:lang w:val="en-US"/>
        </w:rPr>
      </w:pPr>
    </w:p>
    <w:p w14:paraId="6C83B75B" w14:textId="77777777" w:rsidR="00F12DDA" w:rsidRPr="009C5D1F" w:rsidRDefault="00F12DDA" w:rsidP="00F12DDA">
      <w:pPr>
        <w:jc w:val="both"/>
        <w:outlineLvl w:val="0"/>
        <w:rPr>
          <w:rFonts w:ascii="Arial" w:hAnsi="Arial" w:cs="Arial"/>
          <w:sz w:val="22"/>
          <w:szCs w:val="22"/>
          <w:lang w:val="en-US"/>
        </w:rPr>
      </w:pPr>
    </w:p>
    <w:p w14:paraId="1200C023" w14:textId="4E20C350" w:rsidR="00781745" w:rsidRPr="00781745" w:rsidRDefault="00781745" w:rsidP="00781745">
      <w:pPr>
        <w:jc w:val="center"/>
        <w:rPr>
          <w:rFonts w:ascii="Arial" w:hAnsi="Arial" w:cs="Arial"/>
          <w:b/>
        </w:rPr>
      </w:pPr>
      <w:r w:rsidRPr="00781745">
        <w:rPr>
          <w:rFonts w:ascii="Arial" w:hAnsi="Arial" w:cs="Arial"/>
          <w:b/>
        </w:rPr>
        <w:t xml:space="preserve">TAIEX </w:t>
      </w:r>
      <w:proofErr w:type="spellStart"/>
      <w:r w:rsidRPr="00781745">
        <w:rPr>
          <w:rFonts w:ascii="Arial" w:hAnsi="Arial" w:cs="Arial"/>
          <w:b/>
        </w:rPr>
        <w:t>Conference</w:t>
      </w:r>
      <w:proofErr w:type="spellEnd"/>
      <w:r w:rsidRPr="00781745">
        <w:rPr>
          <w:rFonts w:ascii="Arial" w:hAnsi="Arial" w:cs="Arial"/>
          <w:b/>
        </w:rPr>
        <w:t xml:space="preserve">/workshop on </w:t>
      </w:r>
      <w:proofErr w:type="spellStart"/>
      <w:r w:rsidRPr="00781745">
        <w:rPr>
          <w:rFonts w:ascii="Arial" w:hAnsi="Arial" w:cs="Arial"/>
          <w:b/>
        </w:rPr>
        <w:t>Raising</w:t>
      </w:r>
      <w:proofErr w:type="spellEnd"/>
      <w:r w:rsidRPr="00781745">
        <w:rPr>
          <w:rFonts w:ascii="Arial" w:hAnsi="Arial" w:cs="Arial"/>
          <w:b/>
        </w:rPr>
        <w:t xml:space="preserve"> </w:t>
      </w:r>
      <w:proofErr w:type="spellStart"/>
      <w:r w:rsidRPr="00781745">
        <w:rPr>
          <w:rFonts w:ascii="Arial" w:hAnsi="Arial" w:cs="Arial"/>
          <w:b/>
        </w:rPr>
        <w:t>Quality</w:t>
      </w:r>
      <w:proofErr w:type="spellEnd"/>
      <w:r w:rsidRPr="00781745">
        <w:rPr>
          <w:rFonts w:ascii="Arial" w:hAnsi="Arial" w:cs="Arial"/>
          <w:b/>
        </w:rPr>
        <w:t xml:space="preserve"> </w:t>
      </w:r>
      <w:proofErr w:type="spellStart"/>
      <w:r w:rsidRPr="00781745">
        <w:rPr>
          <w:rFonts w:ascii="Arial" w:hAnsi="Arial" w:cs="Arial"/>
          <w:b/>
        </w:rPr>
        <w:t>Standards</w:t>
      </w:r>
      <w:proofErr w:type="spellEnd"/>
      <w:r w:rsidRPr="00781745">
        <w:rPr>
          <w:rFonts w:ascii="Arial" w:hAnsi="Arial" w:cs="Arial"/>
          <w:b/>
        </w:rPr>
        <w:t xml:space="preserve"> </w:t>
      </w:r>
      <w:proofErr w:type="spellStart"/>
      <w:r w:rsidRPr="00781745">
        <w:rPr>
          <w:rFonts w:ascii="Arial" w:hAnsi="Arial" w:cs="Arial"/>
          <w:b/>
        </w:rPr>
        <w:t>in</w:t>
      </w:r>
      <w:proofErr w:type="spellEnd"/>
      <w:r w:rsidRPr="00781745">
        <w:rPr>
          <w:rFonts w:ascii="Arial" w:hAnsi="Arial" w:cs="Arial"/>
          <w:b/>
        </w:rPr>
        <w:t xml:space="preserve"> </w:t>
      </w:r>
      <w:proofErr w:type="spellStart"/>
      <w:r w:rsidRPr="00781745">
        <w:rPr>
          <w:rFonts w:ascii="Arial" w:hAnsi="Arial" w:cs="Arial"/>
          <w:b/>
        </w:rPr>
        <w:t>the</w:t>
      </w:r>
      <w:proofErr w:type="spellEnd"/>
      <w:r w:rsidRPr="00781745">
        <w:rPr>
          <w:rFonts w:ascii="Arial" w:hAnsi="Arial" w:cs="Arial"/>
          <w:b/>
        </w:rPr>
        <w:t xml:space="preserve"> </w:t>
      </w:r>
      <w:proofErr w:type="spellStart"/>
      <w:r w:rsidRPr="00781745">
        <w:rPr>
          <w:rFonts w:ascii="Arial" w:hAnsi="Arial" w:cs="Arial"/>
          <w:b/>
        </w:rPr>
        <w:t>Judiciary</w:t>
      </w:r>
      <w:proofErr w:type="spellEnd"/>
    </w:p>
    <w:p w14:paraId="16B18181" w14:textId="38723FA7" w:rsidR="00276A8B" w:rsidRPr="007F73FC" w:rsidRDefault="00276A8B" w:rsidP="00276A8B">
      <w:pPr>
        <w:jc w:val="center"/>
        <w:rPr>
          <w:rFonts w:ascii="Arial" w:hAnsi="Arial" w:cs="Arial"/>
          <w:b/>
        </w:rPr>
      </w:pPr>
    </w:p>
    <w:p w14:paraId="53658DD4" w14:textId="287DC1B2" w:rsidR="00276A8B" w:rsidRPr="007F73FC" w:rsidRDefault="00781745" w:rsidP="00276A8B">
      <w:pPr>
        <w:jc w:val="center"/>
        <w:rPr>
          <w:rFonts w:ascii="Arial" w:hAnsi="Arial" w:cs="Arial"/>
          <w:b/>
        </w:rPr>
      </w:pPr>
      <w:proofErr w:type="spellStart"/>
      <w:r>
        <w:rPr>
          <w:rFonts w:ascii="Arial" w:hAnsi="Arial" w:cs="Arial"/>
          <w:b/>
        </w:rPr>
        <w:t>Conclusions</w:t>
      </w:r>
      <w:proofErr w:type="spellEnd"/>
    </w:p>
    <w:p w14:paraId="79FEE27E" w14:textId="7B7C902B" w:rsidR="00276A8B" w:rsidRDefault="00276A8B" w:rsidP="00276A8B">
      <w:pPr>
        <w:jc w:val="center"/>
        <w:rPr>
          <w:rFonts w:ascii="Arial" w:hAnsi="Arial" w:cs="Arial"/>
          <w:b/>
        </w:rPr>
      </w:pPr>
    </w:p>
    <w:p w14:paraId="74B3BEE6" w14:textId="77777777" w:rsidR="00781745" w:rsidRPr="007F73FC" w:rsidRDefault="00781745" w:rsidP="00276A8B">
      <w:pPr>
        <w:jc w:val="center"/>
        <w:rPr>
          <w:rFonts w:ascii="Arial" w:hAnsi="Arial" w:cs="Arial"/>
          <w:b/>
        </w:rPr>
      </w:pPr>
    </w:p>
    <w:p w14:paraId="2AE5BD03" w14:textId="77777777" w:rsidR="00781745" w:rsidRDefault="00781745" w:rsidP="00781745">
      <w:pPr>
        <w:pStyle w:val="NoSpacing"/>
        <w:numPr>
          <w:ilvl w:val="0"/>
          <w:numId w:val="4"/>
        </w:numPr>
        <w:jc w:val="both"/>
        <w:rPr>
          <w:rFonts w:ascii="Arial" w:hAnsi="Arial" w:cs="Arial"/>
          <w:sz w:val="22"/>
          <w:szCs w:val="22"/>
        </w:rPr>
      </w:pPr>
      <w:bookmarkStart w:id="0" w:name="_GoBack"/>
      <w:proofErr w:type="spellStart"/>
      <w:r w:rsidRPr="00781745">
        <w:rPr>
          <w:rFonts w:ascii="Arial" w:hAnsi="Arial" w:cs="Arial"/>
          <w:sz w:val="22"/>
          <w:szCs w:val="22"/>
        </w:rPr>
        <w:t>The</w:t>
      </w:r>
      <w:proofErr w:type="spellEnd"/>
      <w:r w:rsidRPr="00781745">
        <w:rPr>
          <w:rFonts w:ascii="Arial" w:hAnsi="Arial" w:cs="Arial"/>
          <w:sz w:val="22"/>
          <w:szCs w:val="22"/>
        </w:rPr>
        <w:t xml:space="preserve"> </w:t>
      </w:r>
      <w:proofErr w:type="spellStart"/>
      <w:r w:rsidRPr="00781745">
        <w:rPr>
          <w:rFonts w:ascii="Arial" w:hAnsi="Arial" w:cs="Arial"/>
          <w:sz w:val="22"/>
          <w:szCs w:val="22"/>
        </w:rPr>
        <w:t>independence</w:t>
      </w:r>
      <w:proofErr w:type="spellEnd"/>
      <w:r w:rsidRPr="00781745">
        <w:rPr>
          <w:rFonts w:ascii="Arial" w:hAnsi="Arial" w:cs="Arial"/>
          <w:sz w:val="22"/>
          <w:szCs w:val="22"/>
        </w:rPr>
        <w:t xml:space="preserve"> </w:t>
      </w:r>
      <w:proofErr w:type="spellStart"/>
      <w:r w:rsidRPr="00781745">
        <w:rPr>
          <w:rFonts w:ascii="Arial" w:hAnsi="Arial" w:cs="Arial"/>
          <w:sz w:val="22"/>
          <w:szCs w:val="22"/>
        </w:rPr>
        <w:t>and</w:t>
      </w:r>
      <w:proofErr w:type="spellEnd"/>
      <w:r w:rsidRPr="00781745">
        <w:rPr>
          <w:rFonts w:ascii="Arial" w:hAnsi="Arial" w:cs="Arial"/>
          <w:sz w:val="22"/>
          <w:szCs w:val="22"/>
        </w:rPr>
        <w:t xml:space="preserve"> </w:t>
      </w:r>
      <w:proofErr w:type="spellStart"/>
      <w:r w:rsidRPr="00781745">
        <w:rPr>
          <w:rFonts w:ascii="Arial" w:hAnsi="Arial" w:cs="Arial"/>
          <w:sz w:val="22"/>
          <w:szCs w:val="22"/>
        </w:rPr>
        <w:t>accountability</w:t>
      </w:r>
      <w:proofErr w:type="spellEnd"/>
      <w:r w:rsidRPr="00781745">
        <w:rPr>
          <w:rFonts w:ascii="Arial" w:hAnsi="Arial" w:cs="Arial"/>
          <w:sz w:val="22"/>
          <w:szCs w:val="22"/>
        </w:rPr>
        <w:t xml:space="preserve"> of judicial office holders and judicial quality are interdependent and, therefore, must be constantly in place; </w:t>
      </w:r>
    </w:p>
    <w:p w14:paraId="3F6A0E48" w14:textId="77777777" w:rsidR="00781745" w:rsidRDefault="00781745" w:rsidP="00781745">
      <w:pPr>
        <w:pStyle w:val="NoSpacing"/>
        <w:numPr>
          <w:ilvl w:val="0"/>
          <w:numId w:val="4"/>
        </w:numPr>
        <w:jc w:val="both"/>
        <w:rPr>
          <w:rFonts w:ascii="Arial" w:hAnsi="Arial" w:cs="Arial"/>
          <w:sz w:val="22"/>
          <w:szCs w:val="22"/>
        </w:rPr>
      </w:pPr>
      <w:proofErr w:type="spellStart"/>
      <w:r w:rsidRPr="00781745">
        <w:rPr>
          <w:rFonts w:ascii="Arial" w:hAnsi="Arial" w:cs="Arial"/>
          <w:sz w:val="22"/>
          <w:szCs w:val="22"/>
        </w:rPr>
        <w:t>Judicial</w:t>
      </w:r>
      <w:proofErr w:type="spellEnd"/>
      <w:r w:rsidRPr="00781745">
        <w:rPr>
          <w:rFonts w:ascii="Arial" w:hAnsi="Arial" w:cs="Arial"/>
          <w:sz w:val="22"/>
          <w:szCs w:val="22"/>
        </w:rPr>
        <w:t xml:space="preserve"> </w:t>
      </w:r>
      <w:proofErr w:type="spellStart"/>
      <w:r w:rsidRPr="00781745">
        <w:rPr>
          <w:rFonts w:ascii="Arial" w:hAnsi="Arial" w:cs="Arial"/>
          <w:sz w:val="22"/>
          <w:szCs w:val="22"/>
        </w:rPr>
        <w:t>institutions</w:t>
      </w:r>
      <w:proofErr w:type="spellEnd"/>
      <w:r w:rsidRPr="00781745">
        <w:rPr>
          <w:rFonts w:ascii="Arial" w:hAnsi="Arial" w:cs="Arial"/>
          <w:sz w:val="22"/>
          <w:szCs w:val="22"/>
        </w:rPr>
        <w:t xml:space="preserve"> are </w:t>
      </w:r>
      <w:proofErr w:type="spellStart"/>
      <w:r w:rsidRPr="00781745">
        <w:rPr>
          <w:rFonts w:ascii="Arial" w:hAnsi="Arial" w:cs="Arial"/>
          <w:sz w:val="22"/>
          <w:szCs w:val="22"/>
        </w:rPr>
        <w:t>accountable</w:t>
      </w:r>
      <w:proofErr w:type="spellEnd"/>
      <w:r w:rsidRPr="00781745">
        <w:rPr>
          <w:rFonts w:ascii="Arial" w:hAnsi="Arial" w:cs="Arial"/>
          <w:sz w:val="22"/>
          <w:szCs w:val="22"/>
        </w:rPr>
        <w:t xml:space="preserve"> for the quality of service offered within the scope of their competences. Accordingly, institution managers must assume a more active role in the process;  </w:t>
      </w:r>
    </w:p>
    <w:p w14:paraId="0C07C946" w14:textId="77777777" w:rsidR="00781745" w:rsidRDefault="00781745" w:rsidP="00781745">
      <w:pPr>
        <w:pStyle w:val="NoSpacing"/>
        <w:numPr>
          <w:ilvl w:val="0"/>
          <w:numId w:val="4"/>
        </w:numPr>
        <w:jc w:val="both"/>
        <w:rPr>
          <w:rFonts w:ascii="Arial" w:hAnsi="Arial" w:cs="Arial"/>
          <w:sz w:val="22"/>
          <w:szCs w:val="22"/>
        </w:rPr>
      </w:pPr>
      <w:proofErr w:type="spellStart"/>
      <w:r w:rsidRPr="00781745">
        <w:rPr>
          <w:rFonts w:ascii="Arial" w:hAnsi="Arial" w:cs="Arial"/>
          <w:sz w:val="22"/>
          <w:szCs w:val="22"/>
        </w:rPr>
        <w:t>Courts</w:t>
      </w:r>
      <w:proofErr w:type="spellEnd"/>
      <w:r w:rsidRPr="00781745">
        <w:rPr>
          <w:rFonts w:ascii="Arial" w:hAnsi="Arial" w:cs="Arial"/>
          <w:sz w:val="22"/>
          <w:szCs w:val="22"/>
        </w:rPr>
        <w:t xml:space="preserve"> </w:t>
      </w:r>
      <w:proofErr w:type="spellStart"/>
      <w:r w:rsidRPr="00781745">
        <w:rPr>
          <w:rFonts w:ascii="Arial" w:hAnsi="Arial" w:cs="Arial"/>
          <w:sz w:val="22"/>
          <w:szCs w:val="22"/>
        </w:rPr>
        <w:t>and</w:t>
      </w:r>
      <w:proofErr w:type="spellEnd"/>
      <w:r w:rsidRPr="00781745">
        <w:rPr>
          <w:rFonts w:ascii="Arial" w:hAnsi="Arial" w:cs="Arial"/>
          <w:sz w:val="22"/>
          <w:szCs w:val="22"/>
        </w:rPr>
        <w:t xml:space="preserve"> </w:t>
      </w:r>
      <w:proofErr w:type="spellStart"/>
      <w:r w:rsidRPr="00781745">
        <w:rPr>
          <w:rFonts w:ascii="Arial" w:hAnsi="Arial" w:cs="Arial"/>
          <w:sz w:val="22"/>
          <w:szCs w:val="22"/>
        </w:rPr>
        <w:t>prosecutors</w:t>
      </w:r>
      <w:proofErr w:type="spellEnd"/>
      <w:r w:rsidRPr="00781745">
        <w:rPr>
          <w:rFonts w:ascii="Arial" w:hAnsi="Arial" w:cs="Arial"/>
          <w:sz w:val="22"/>
          <w:szCs w:val="22"/>
        </w:rPr>
        <w:t xml:space="preserve"> </w:t>
      </w:r>
      <w:proofErr w:type="spellStart"/>
      <w:r w:rsidRPr="00781745">
        <w:rPr>
          <w:rFonts w:ascii="Arial" w:hAnsi="Arial" w:cs="Arial"/>
          <w:sz w:val="22"/>
          <w:szCs w:val="22"/>
        </w:rPr>
        <w:t>offices</w:t>
      </w:r>
      <w:proofErr w:type="spellEnd"/>
      <w:r w:rsidRPr="00781745">
        <w:rPr>
          <w:rFonts w:ascii="Arial" w:hAnsi="Arial" w:cs="Arial"/>
          <w:sz w:val="22"/>
          <w:szCs w:val="22"/>
        </w:rPr>
        <w:t xml:space="preserve"> should develop quality standards, taking into consideration actual society needs and identified weaknesses of the judicial system. In coordination with the HJPC, a comprehensive quality management system should be established, defining its elements, standards, indicators and verification mechanisms as based on the best European practices and the minimum standards adopted </w:t>
      </w:r>
      <w:proofErr w:type="spellStart"/>
      <w:r w:rsidRPr="00781745">
        <w:rPr>
          <w:rFonts w:ascii="Arial" w:hAnsi="Arial" w:cs="Arial"/>
          <w:sz w:val="22"/>
          <w:szCs w:val="22"/>
        </w:rPr>
        <w:t>by</w:t>
      </w:r>
      <w:proofErr w:type="spellEnd"/>
      <w:r w:rsidRPr="00781745">
        <w:rPr>
          <w:rFonts w:ascii="Arial" w:hAnsi="Arial" w:cs="Arial"/>
          <w:sz w:val="22"/>
          <w:szCs w:val="22"/>
        </w:rPr>
        <w:t xml:space="preserve"> CEPEJ </w:t>
      </w:r>
      <w:proofErr w:type="spellStart"/>
      <w:r w:rsidRPr="00781745">
        <w:rPr>
          <w:rFonts w:ascii="Arial" w:hAnsi="Arial" w:cs="Arial"/>
          <w:sz w:val="22"/>
          <w:szCs w:val="22"/>
        </w:rPr>
        <w:t>and</w:t>
      </w:r>
      <w:proofErr w:type="spellEnd"/>
      <w:r w:rsidRPr="00781745">
        <w:rPr>
          <w:rFonts w:ascii="Arial" w:hAnsi="Arial" w:cs="Arial"/>
          <w:sz w:val="22"/>
          <w:szCs w:val="22"/>
        </w:rPr>
        <w:t xml:space="preserve"> ENCJ;</w:t>
      </w:r>
    </w:p>
    <w:p w14:paraId="37BD6B56" w14:textId="77777777" w:rsidR="00781745" w:rsidRDefault="00781745" w:rsidP="00781745">
      <w:pPr>
        <w:pStyle w:val="NoSpacing"/>
        <w:numPr>
          <w:ilvl w:val="0"/>
          <w:numId w:val="4"/>
        </w:numPr>
        <w:jc w:val="both"/>
        <w:rPr>
          <w:rFonts w:ascii="Arial" w:hAnsi="Arial" w:cs="Arial"/>
          <w:sz w:val="22"/>
          <w:szCs w:val="22"/>
        </w:rPr>
      </w:pPr>
      <w:proofErr w:type="spellStart"/>
      <w:r w:rsidRPr="00781745">
        <w:rPr>
          <w:rFonts w:ascii="Arial" w:hAnsi="Arial" w:cs="Arial"/>
          <w:sz w:val="22"/>
          <w:szCs w:val="22"/>
        </w:rPr>
        <w:t>Judges</w:t>
      </w:r>
      <w:proofErr w:type="spellEnd"/>
      <w:r w:rsidRPr="00781745">
        <w:rPr>
          <w:rFonts w:ascii="Arial" w:hAnsi="Arial" w:cs="Arial"/>
          <w:sz w:val="22"/>
          <w:szCs w:val="22"/>
        </w:rPr>
        <w:t xml:space="preserve"> </w:t>
      </w:r>
      <w:proofErr w:type="spellStart"/>
      <w:r w:rsidRPr="00781745">
        <w:rPr>
          <w:rFonts w:ascii="Arial" w:hAnsi="Arial" w:cs="Arial"/>
          <w:sz w:val="22"/>
          <w:szCs w:val="22"/>
        </w:rPr>
        <w:t>and</w:t>
      </w:r>
      <w:proofErr w:type="spellEnd"/>
      <w:r w:rsidRPr="00781745">
        <w:rPr>
          <w:rFonts w:ascii="Arial" w:hAnsi="Arial" w:cs="Arial"/>
          <w:sz w:val="22"/>
          <w:szCs w:val="22"/>
        </w:rPr>
        <w:t xml:space="preserve"> </w:t>
      </w:r>
      <w:proofErr w:type="spellStart"/>
      <w:r w:rsidRPr="00781745">
        <w:rPr>
          <w:rFonts w:ascii="Arial" w:hAnsi="Arial" w:cs="Arial"/>
          <w:sz w:val="22"/>
          <w:szCs w:val="22"/>
        </w:rPr>
        <w:t>prosecutors</w:t>
      </w:r>
      <w:proofErr w:type="spellEnd"/>
      <w:r w:rsidRPr="00781745">
        <w:rPr>
          <w:rFonts w:ascii="Arial" w:hAnsi="Arial" w:cs="Arial"/>
          <w:sz w:val="22"/>
          <w:szCs w:val="22"/>
        </w:rPr>
        <w:t xml:space="preserve"> </w:t>
      </w:r>
      <w:proofErr w:type="spellStart"/>
      <w:r w:rsidRPr="00781745">
        <w:rPr>
          <w:rFonts w:ascii="Arial" w:hAnsi="Arial" w:cs="Arial"/>
          <w:sz w:val="22"/>
          <w:szCs w:val="22"/>
        </w:rPr>
        <w:t>should</w:t>
      </w:r>
      <w:proofErr w:type="spellEnd"/>
      <w:r w:rsidRPr="00781745">
        <w:rPr>
          <w:rFonts w:ascii="Arial" w:hAnsi="Arial" w:cs="Arial"/>
          <w:sz w:val="22"/>
          <w:szCs w:val="22"/>
        </w:rPr>
        <w:t xml:space="preserve">, both individually and through their institutions, continue to assume a more active role in identifying and communicating the needs of the judicial community, with reference to raising quality </w:t>
      </w:r>
      <w:proofErr w:type="spellStart"/>
      <w:r w:rsidRPr="00781745">
        <w:rPr>
          <w:rFonts w:ascii="Arial" w:hAnsi="Arial" w:cs="Arial"/>
          <w:sz w:val="22"/>
          <w:szCs w:val="22"/>
        </w:rPr>
        <w:t>standards</w:t>
      </w:r>
      <w:proofErr w:type="spellEnd"/>
      <w:r w:rsidRPr="00781745">
        <w:rPr>
          <w:rFonts w:ascii="Arial" w:hAnsi="Arial" w:cs="Arial"/>
          <w:sz w:val="22"/>
          <w:szCs w:val="22"/>
        </w:rPr>
        <w:t xml:space="preserve">, </w:t>
      </w:r>
      <w:proofErr w:type="spellStart"/>
      <w:r w:rsidRPr="00781745">
        <w:rPr>
          <w:rFonts w:ascii="Arial" w:hAnsi="Arial" w:cs="Arial"/>
          <w:sz w:val="22"/>
          <w:szCs w:val="22"/>
        </w:rPr>
        <w:t>and</w:t>
      </w:r>
      <w:proofErr w:type="spellEnd"/>
      <w:r w:rsidRPr="00781745">
        <w:rPr>
          <w:rFonts w:ascii="Arial" w:hAnsi="Arial" w:cs="Arial"/>
          <w:sz w:val="22"/>
          <w:szCs w:val="22"/>
        </w:rPr>
        <w:t xml:space="preserve"> </w:t>
      </w:r>
      <w:proofErr w:type="spellStart"/>
      <w:r w:rsidRPr="00781745">
        <w:rPr>
          <w:rFonts w:ascii="Arial" w:hAnsi="Arial" w:cs="Arial"/>
          <w:sz w:val="22"/>
          <w:szCs w:val="22"/>
        </w:rPr>
        <w:t>their</w:t>
      </w:r>
      <w:proofErr w:type="spellEnd"/>
      <w:r w:rsidRPr="00781745">
        <w:rPr>
          <w:rFonts w:ascii="Arial" w:hAnsi="Arial" w:cs="Arial"/>
          <w:sz w:val="22"/>
          <w:szCs w:val="22"/>
        </w:rPr>
        <w:t xml:space="preserve"> </w:t>
      </w:r>
      <w:proofErr w:type="spellStart"/>
      <w:r w:rsidRPr="00781745">
        <w:rPr>
          <w:rFonts w:ascii="Arial" w:hAnsi="Arial" w:cs="Arial"/>
          <w:sz w:val="22"/>
          <w:szCs w:val="22"/>
        </w:rPr>
        <w:t>application</w:t>
      </w:r>
      <w:proofErr w:type="spellEnd"/>
      <w:r w:rsidRPr="00781745">
        <w:rPr>
          <w:rFonts w:ascii="Arial" w:hAnsi="Arial" w:cs="Arial"/>
          <w:sz w:val="22"/>
          <w:szCs w:val="22"/>
        </w:rPr>
        <w:t>;</w:t>
      </w:r>
    </w:p>
    <w:p w14:paraId="75E7F153" w14:textId="77777777" w:rsidR="00781745" w:rsidRDefault="00781745" w:rsidP="00781745">
      <w:pPr>
        <w:pStyle w:val="NoSpacing"/>
        <w:numPr>
          <w:ilvl w:val="0"/>
          <w:numId w:val="4"/>
        </w:numPr>
        <w:jc w:val="both"/>
        <w:rPr>
          <w:rFonts w:ascii="Arial" w:hAnsi="Arial" w:cs="Arial"/>
          <w:sz w:val="22"/>
          <w:szCs w:val="22"/>
        </w:rPr>
      </w:pPr>
      <w:proofErr w:type="spellStart"/>
      <w:r w:rsidRPr="00781745">
        <w:rPr>
          <w:rFonts w:ascii="Arial" w:hAnsi="Arial" w:cs="Arial"/>
          <w:sz w:val="22"/>
          <w:szCs w:val="22"/>
        </w:rPr>
        <w:t>Quality</w:t>
      </w:r>
      <w:proofErr w:type="spellEnd"/>
      <w:r w:rsidRPr="00781745">
        <w:rPr>
          <w:rFonts w:ascii="Arial" w:hAnsi="Arial" w:cs="Arial"/>
          <w:sz w:val="22"/>
          <w:szCs w:val="22"/>
        </w:rPr>
        <w:t xml:space="preserve"> must </w:t>
      </w:r>
      <w:proofErr w:type="spellStart"/>
      <w:r w:rsidRPr="00781745">
        <w:rPr>
          <w:rFonts w:ascii="Arial" w:hAnsi="Arial" w:cs="Arial"/>
          <w:sz w:val="22"/>
          <w:szCs w:val="22"/>
        </w:rPr>
        <w:t>be</w:t>
      </w:r>
      <w:proofErr w:type="spellEnd"/>
      <w:r w:rsidRPr="00781745">
        <w:rPr>
          <w:rFonts w:ascii="Arial" w:hAnsi="Arial" w:cs="Arial"/>
          <w:sz w:val="22"/>
          <w:szCs w:val="22"/>
        </w:rPr>
        <w:t xml:space="preserve"> </w:t>
      </w:r>
      <w:proofErr w:type="spellStart"/>
      <w:r w:rsidRPr="00781745">
        <w:rPr>
          <w:rFonts w:ascii="Arial" w:hAnsi="Arial" w:cs="Arial"/>
          <w:sz w:val="22"/>
          <w:szCs w:val="22"/>
        </w:rPr>
        <w:t>measured</w:t>
      </w:r>
      <w:proofErr w:type="spellEnd"/>
      <w:r w:rsidRPr="00781745">
        <w:rPr>
          <w:rFonts w:ascii="Arial" w:hAnsi="Arial" w:cs="Arial"/>
          <w:sz w:val="22"/>
          <w:szCs w:val="22"/>
        </w:rPr>
        <w:t xml:space="preserve"> periodically at </w:t>
      </w:r>
      <w:proofErr w:type="spellStart"/>
      <w:r w:rsidRPr="00781745">
        <w:rPr>
          <w:rFonts w:ascii="Arial" w:hAnsi="Arial" w:cs="Arial"/>
          <w:sz w:val="22"/>
          <w:szCs w:val="22"/>
        </w:rPr>
        <w:t>regularly</w:t>
      </w:r>
      <w:proofErr w:type="spellEnd"/>
      <w:r w:rsidRPr="00781745">
        <w:rPr>
          <w:rFonts w:ascii="Arial" w:hAnsi="Arial" w:cs="Arial"/>
          <w:sz w:val="22"/>
          <w:szCs w:val="22"/>
        </w:rPr>
        <w:t xml:space="preserve"> set </w:t>
      </w:r>
      <w:proofErr w:type="spellStart"/>
      <w:r w:rsidRPr="00781745">
        <w:rPr>
          <w:rFonts w:ascii="Arial" w:hAnsi="Arial" w:cs="Arial"/>
          <w:sz w:val="22"/>
          <w:szCs w:val="22"/>
        </w:rPr>
        <w:t>intervals</w:t>
      </w:r>
      <w:proofErr w:type="spellEnd"/>
      <w:r w:rsidRPr="00781745">
        <w:rPr>
          <w:rFonts w:ascii="Arial" w:hAnsi="Arial" w:cs="Arial"/>
          <w:sz w:val="22"/>
          <w:szCs w:val="22"/>
        </w:rPr>
        <w:t>;</w:t>
      </w:r>
    </w:p>
    <w:p w14:paraId="7089843E" w14:textId="77777777" w:rsidR="00781745" w:rsidRDefault="00781745" w:rsidP="00781745">
      <w:pPr>
        <w:pStyle w:val="NoSpacing"/>
        <w:numPr>
          <w:ilvl w:val="0"/>
          <w:numId w:val="4"/>
        </w:numPr>
        <w:jc w:val="both"/>
        <w:rPr>
          <w:rFonts w:ascii="Arial" w:hAnsi="Arial" w:cs="Arial"/>
          <w:sz w:val="22"/>
          <w:szCs w:val="22"/>
        </w:rPr>
      </w:pPr>
      <w:proofErr w:type="spellStart"/>
      <w:r w:rsidRPr="00781745">
        <w:rPr>
          <w:rFonts w:ascii="Arial" w:hAnsi="Arial" w:cs="Arial"/>
          <w:sz w:val="22"/>
          <w:szCs w:val="22"/>
        </w:rPr>
        <w:t>The</w:t>
      </w:r>
      <w:proofErr w:type="spellEnd"/>
      <w:r w:rsidRPr="00781745">
        <w:rPr>
          <w:rFonts w:ascii="Arial" w:hAnsi="Arial" w:cs="Arial"/>
          <w:sz w:val="22"/>
          <w:szCs w:val="22"/>
        </w:rPr>
        <w:t xml:space="preserve"> </w:t>
      </w:r>
      <w:proofErr w:type="spellStart"/>
      <w:r w:rsidRPr="00781745">
        <w:rPr>
          <w:rFonts w:ascii="Arial" w:hAnsi="Arial" w:cs="Arial"/>
          <w:sz w:val="22"/>
          <w:szCs w:val="22"/>
        </w:rPr>
        <w:t>courts</w:t>
      </w:r>
      <w:proofErr w:type="spellEnd"/>
      <w:r w:rsidRPr="00781745">
        <w:rPr>
          <w:rFonts w:ascii="Arial" w:hAnsi="Arial" w:cs="Arial"/>
          <w:sz w:val="22"/>
          <w:szCs w:val="22"/>
        </w:rPr>
        <w:t xml:space="preserve">, </w:t>
      </w:r>
      <w:proofErr w:type="spellStart"/>
      <w:r w:rsidRPr="00781745">
        <w:rPr>
          <w:rFonts w:ascii="Arial" w:hAnsi="Arial" w:cs="Arial"/>
          <w:sz w:val="22"/>
          <w:szCs w:val="22"/>
        </w:rPr>
        <w:t>prosecutors</w:t>
      </w:r>
      <w:proofErr w:type="spellEnd"/>
      <w:r w:rsidRPr="00781745">
        <w:rPr>
          <w:rFonts w:ascii="Arial" w:hAnsi="Arial" w:cs="Arial"/>
          <w:sz w:val="22"/>
          <w:szCs w:val="22"/>
        </w:rPr>
        <w:t xml:space="preserve"> </w:t>
      </w:r>
      <w:proofErr w:type="spellStart"/>
      <w:r w:rsidRPr="00781745">
        <w:rPr>
          <w:rFonts w:ascii="Arial" w:hAnsi="Arial" w:cs="Arial"/>
          <w:sz w:val="22"/>
          <w:szCs w:val="22"/>
        </w:rPr>
        <w:t>offices</w:t>
      </w:r>
      <w:proofErr w:type="spellEnd"/>
      <w:r w:rsidRPr="00781745">
        <w:rPr>
          <w:rFonts w:ascii="Arial" w:hAnsi="Arial" w:cs="Arial"/>
          <w:sz w:val="22"/>
          <w:szCs w:val="22"/>
        </w:rPr>
        <w:t xml:space="preserve"> and the HJPC BiH should define specific measures to improve the quality of the judiciary based on quality indicators;  </w:t>
      </w:r>
    </w:p>
    <w:p w14:paraId="6A4FFCC8" w14:textId="43F6DD03" w:rsidR="00781745" w:rsidRPr="00781745" w:rsidRDefault="00781745" w:rsidP="00781745">
      <w:pPr>
        <w:pStyle w:val="NoSpacing"/>
        <w:numPr>
          <w:ilvl w:val="0"/>
          <w:numId w:val="4"/>
        </w:numPr>
        <w:jc w:val="both"/>
        <w:rPr>
          <w:rFonts w:ascii="Arial" w:hAnsi="Arial" w:cs="Arial"/>
          <w:sz w:val="22"/>
          <w:szCs w:val="22"/>
        </w:rPr>
      </w:pPr>
      <w:r w:rsidRPr="00781745">
        <w:rPr>
          <w:rFonts w:ascii="Arial" w:hAnsi="Arial" w:cs="Arial"/>
          <w:sz w:val="22"/>
          <w:szCs w:val="22"/>
        </w:rPr>
        <w:t xml:space="preserve">In </w:t>
      </w:r>
      <w:proofErr w:type="spellStart"/>
      <w:r w:rsidRPr="00781745">
        <w:rPr>
          <w:rFonts w:ascii="Arial" w:hAnsi="Arial" w:cs="Arial"/>
          <w:sz w:val="22"/>
          <w:szCs w:val="22"/>
        </w:rPr>
        <w:t>improving</w:t>
      </w:r>
      <w:proofErr w:type="spellEnd"/>
      <w:r w:rsidRPr="00781745">
        <w:rPr>
          <w:rFonts w:ascii="Arial" w:hAnsi="Arial" w:cs="Arial"/>
          <w:sz w:val="22"/>
          <w:szCs w:val="22"/>
        </w:rPr>
        <w:t xml:space="preserve"> </w:t>
      </w:r>
      <w:proofErr w:type="spellStart"/>
      <w:r w:rsidRPr="00781745">
        <w:rPr>
          <w:rFonts w:ascii="Arial" w:hAnsi="Arial" w:cs="Arial"/>
          <w:sz w:val="22"/>
          <w:szCs w:val="22"/>
        </w:rPr>
        <w:t>the</w:t>
      </w:r>
      <w:proofErr w:type="spellEnd"/>
      <w:r w:rsidRPr="00781745">
        <w:rPr>
          <w:rFonts w:ascii="Arial" w:hAnsi="Arial" w:cs="Arial"/>
          <w:sz w:val="22"/>
          <w:szCs w:val="22"/>
        </w:rPr>
        <w:t xml:space="preserve"> </w:t>
      </w:r>
      <w:proofErr w:type="spellStart"/>
      <w:r w:rsidRPr="00781745">
        <w:rPr>
          <w:rFonts w:ascii="Arial" w:hAnsi="Arial" w:cs="Arial"/>
          <w:sz w:val="22"/>
          <w:szCs w:val="22"/>
        </w:rPr>
        <w:t>quality</w:t>
      </w:r>
      <w:proofErr w:type="spellEnd"/>
      <w:r w:rsidRPr="00781745">
        <w:rPr>
          <w:rFonts w:ascii="Arial" w:hAnsi="Arial" w:cs="Arial"/>
          <w:sz w:val="22"/>
          <w:szCs w:val="22"/>
        </w:rPr>
        <w:t xml:space="preserve"> of the judiciary, we need to advance systemic cooperation among all relevant stakeholders, including the executive and legislative authorities and, at the same time, regularly assess the level of public confidence in the judiciary.  </w:t>
      </w:r>
    </w:p>
    <w:bookmarkEnd w:id="0"/>
    <w:p w14:paraId="19A16338" w14:textId="77777777" w:rsidR="00781745" w:rsidRPr="00781745" w:rsidRDefault="00781745" w:rsidP="00781745">
      <w:pPr>
        <w:pStyle w:val="NoSpacing"/>
        <w:rPr>
          <w:rFonts w:ascii="Arial" w:hAnsi="Arial" w:cs="Arial"/>
          <w:b/>
          <w:sz w:val="22"/>
          <w:szCs w:val="22"/>
        </w:rPr>
      </w:pPr>
    </w:p>
    <w:p w14:paraId="42BC734C" w14:textId="32E95282" w:rsidR="00276A8B" w:rsidRDefault="00276A8B" w:rsidP="00276A8B">
      <w:pPr>
        <w:jc w:val="both"/>
        <w:rPr>
          <w:sz w:val="22"/>
          <w:szCs w:val="22"/>
        </w:rPr>
      </w:pPr>
    </w:p>
    <w:p w14:paraId="3C0F2296" w14:textId="2BAEBAC5" w:rsidR="009307FA" w:rsidRDefault="009307FA" w:rsidP="00276A8B">
      <w:pPr>
        <w:jc w:val="both"/>
        <w:rPr>
          <w:sz w:val="22"/>
          <w:szCs w:val="22"/>
        </w:rPr>
      </w:pPr>
    </w:p>
    <w:p w14:paraId="7FA5096C" w14:textId="77777777" w:rsidR="00276A8B" w:rsidRPr="00524814" w:rsidRDefault="00276A8B" w:rsidP="00276A8B">
      <w:pPr>
        <w:spacing w:after="160" w:line="259" w:lineRule="auto"/>
        <w:ind w:left="720"/>
        <w:contextualSpacing/>
        <w:jc w:val="both"/>
        <w:rPr>
          <w:rFonts w:ascii="Arial" w:eastAsia="Calibri" w:hAnsi="Arial" w:cs="Arial"/>
          <w:sz w:val="40"/>
          <w:szCs w:val="40"/>
          <w:lang w:val="bs-Latn-BA"/>
        </w:rPr>
      </w:pPr>
    </w:p>
    <w:p w14:paraId="7967642D" w14:textId="77777777" w:rsidR="00276A8B" w:rsidRPr="0029506A" w:rsidRDefault="00276A8B" w:rsidP="00276A8B">
      <w:pPr>
        <w:jc w:val="both"/>
        <w:rPr>
          <w:sz w:val="22"/>
          <w:szCs w:val="22"/>
        </w:rPr>
      </w:pPr>
    </w:p>
    <w:p w14:paraId="21A299A4" w14:textId="77777777" w:rsidR="00E20046" w:rsidRPr="00441676" w:rsidRDefault="00E20046" w:rsidP="00E20046">
      <w:pPr>
        <w:jc w:val="both"/>
        <w:rPr>
          <w:rFonts w:ascii="Arial" w:hAnsi="Arial" w:cs="Arial"/>
          <w:color w:val="0033CC"/>
          <w:sz w:val="20"/>
          <w:szCs w:val="20"/>
          <w:lang w:val="en-US" w:bidi="ta-IN"/>
        </w:rPr>
      </w:pPr>
      <w:r w:rsidRPr="00441676">
        <w:rPr>
          <w:rFonts w:ascii="Arial" w:hAnsi="Arial" w:cs="Arial"/>
          <w:b/>
          <w:bCs/>
          <w:color w:val="0033CC"/>
          <w:sz w:val="20"/>
          <w:szCs w:val="20"/>
          <w:lang w:val="en-US" w:eastAsia="en-GB" w:bidi="ta-IN"/>
        </w:rPr>
        <w:t>TAIEX (</w:t>
      </w:r>
      <w:r w:rsidRPr="00441676">
        <w:rPr>
          <w:rFonts w:ascii="Arial" w:hAnsi="Arial" w:cs="Arial"/>
          <w:b/>
          <w:bCs/>
          <w:color w:val="0033CC"/>
          <w:sz w:val="20"/>
          <w:szCs w:val="20"/>
          <w:lang w:val="en-US" w:bidi="ta-IN"/>
        </w:rPr>
        <w:t>Technical</w:t>
      </w:r>
      <w:r w:rsidRPr="00441676">
        <w:rPr>
          <w:rFonts w:ascii="Arial" w:hAnsi="Arial" w:cs="Arial"/>
          <w:b/>
          <w:bCs/>
          <w:color w:val="0033CC"/>
          <w:sz w:val="20"/>
          <w:szCs w:val="20"/>
          <w:lang w:val="en-US" w:eastAsia="en-GB" w:bidi="ta-IN"/>
        </w:rPr>
        <w:t xml:space="preserve"> Assistance and Information Exchange </w:t>
      </w:r>
      <w:r w:rsidRPr="00441676">
        <w:rPr>
          <w:rFonts w:ascii="Arial" w:hAnsi="Arial" w:cs="Arial"/>
          <w:b/>
          <w:bCs/>
          <w:color w:val="0033CC"/>
          <w:sz w:val="20"/>
          <w:szCs w:val="20"/>
          <w:lang w:val="en-US" w:bidi="ta-IN"/>
        </w:rPr>
        <w:t>Instrument</w:t>
      </w:r>
      <w:r w:rsidRPr="00441676">
        <w:rPr>
          <w:rFonts w:ascii="Arial" w:hAnsi="Arial" w:cs="Arial"/>
          <w:b/>
          <w:bCs/>
          <w:color w:val="0033CC"/>
          <w:sz w:val="20"/>
          <w:szCs w:val="20"/>
          <w:lang w:val="en-US" w:eastAsia="en-GB" w:bidi="ta-IN"/>
        </w:rPr>
        <w:t xml:space="preserve">) </w:t>
      </w:r>
      <w:r w:rsidRPr="00441676">
        <w:rPr>
          <w:rFonts w:ascii="Arial" w:hAnsi="Arial" w:cs="Arial"/>
          <w:bCs/>
          <w:color w:val="0033CC"/>
          <w:sz w:val="20"/>
          <w:szCs w:val="20"/>
          <w:lang w:val="en-US" w:eastAsia="en-GB" w:bidi="ta-IN"/>
        </w:rPr>
        <w:t xml:space="preserve">is the technical/advisory assistance and information exchange Instrument of the EC DG NEAR which is used to assist countries in the </w:t>
      </w:r>
      <w:proofErr w:type="spellStart"/>
      <w:r w:rsidRPr="00441676">
        <w:rPr>
          <w:rFonts w:ascii="Arial" w:hAnsi="Arial" w:cs="Arial"/>
          <w:bCs/>
          <w:color w:val="0033CC"/>
          <w:sz w:val="20"/>
          <w:szCs w:val="20"/>
          <w:lang w:val="en-US" w:eastAsia="en-GB" w:bidi="ta-IN"/>
        </w:rPr>
        <w:t>harmonisation</w:t>
      </w:r>
      <w:proofErr w:type="spellEnd"/>
      <w:r w:rsidRPr="00441676">
        <w:rPr>
          <w:rFonts w:ascii="Arial" w:hAnsi="Arial" w:cs="Arial"/>
          <w:bCs/>
          <w:color w:val="0033CC"/>
          <w:sz w:val="20"/>
          <w:szCs w:val="20"/>
          <w:lang w:val="en-US" w:eastAsia="en-GB" w:bidi="ta-IN"/>
        </w:rPr>
        <w:t>, adoption and application of EU legislation.</w:t>
      </w:r>
      <w:r w:rsidRPr="00441676">
        <w:rPr>
          <w:rFonts w:ascii="Arial" w:hAnsi="Arial" w:cs="Arial"/>
          <w:color w:val="0033CC"/>
          <w:sz w:val="20"/>
          <w:szCs w:val="20"/>
          <w:lang w:val="en-US" w:bidi="ta-IN"/>
        </w:rPr>
        <w:t xml:space="preserve"> </w:t>
      </w:r>
    </w:p>
    <w:p w14:paraId="3562CF49" w14:textId="733C4F46" w:rsidR="002E78F7" w:rsidRPr="004348B1" w:rsidRDefault="00E20046">
      <w:pPr>
        <w:rPr>
          <w:rFonts w:ascii="Arial" w:hAnsi="Arial" w:cs="Arial"/>
          <w:lang w:val="en-US"/>
        </w:rPr>
      </w:pPr>
      <w:r w:rsidRPr="00441676">
        <w:rPr>
          <w:rFonts w:ascii="Arial" w:hAnsi="Arial" w:cs="Arial"/>
          <w:color w:val="0033CC"/>
          <w:sz w:val="20"/>
          <w:szCs w:val="20"/>
          <w:lang w:val="en-US" w:bidi="ta-IN"/>
        </w:rPr>
        <w:t xml:space="preserve">For additional information please visit </w:t>
      </w:r>
      <w:hyperlink r:id="rId8" w:history="1">
        <w:r w:rsidRPr="00441676">
          <w:rPr>
            <w:rStyle w:val="Hyperlink"/>
            <w:rFonts w:ascii="Arial" w:hAnsi="Arial" w:cs="Arial"/>
            <w:sz w:val="20"/>
            <w:szCs w:val="20"/>
            <w:lang w:val="en-US"/>
          </w:rPr>
          <w:t>http://ec.europa.eu/enlargement/taiex</w:t>
        </w:r>
      </w:hyperlink>
    </w:p>
    <w:sectPr w:rsidR="002E78F7" w:rsidRPr="004348B1" w:rsidSect="001B232D">
      <w:headerReference w:type="first" r:id="rId9"/>
      <w:footerReference w:type="first" r:id="rId10"/>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262D7" w14:textId="77777777" w:rsidR="003F3BF2" w:rsidRDefault="003F3BF2" w:rsidP="00A11169">
      <w:r>
        <w:separator/>
      </w:r>
    </w:p>
  </w:endnote>
  <w:endnote w:type="continuationSeparator" w:id="0">
    <w:p w14:paraId="12EFDC7A" w14:textId="77777777" w:rsidR="003F3BF2" w:rsidRDefault="003F3BF2" w:rsidP="00A1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97EEC" w14:textId="77777777" w:rsidR="00A11169" w:rsidRPr="00A11169" w:rsidRDefault="00A11169" w:rsidP="00A11169">
    <w:pPr>
      <w:ind w:right="-1"/>
      <w:jc w:val="center"/>
      <w:rPr>
        <w:sz w:val="20"/>
        <w:szCs w:val="20"/>
        <w:lang w:val="pl-PL"/>
      </w:rPr>
    </w:pPr>
    <w:r w:rsidRPr="00A11169">
      <w:rPr>
        <w:sz w:val="20"/>
        <w:szCs w:val="20"/>
        <w:lang w:val="pl-PL"/>
      </w:rPr>
      <w:t>________________________________________________________</w:t>
    </w:r>
    <w:r w:rsidRPr="00A11169">
      <w:rPr>
        <w:sz w:val="20"/>
        <w:szCs w:val="20"/>
        <w:lang w:val="pl-PL"/>
      </w:rPr>
      <w:br/>
      <w:t>Kraljice Jelene 88, 71000 Sarajevo, Bosna i Hercegovina</w:t>
    </w:r>
  </w:p>
  <w:p w14:paraId="7146F0FC" w14:textId="77777777" w:rsidR="00A11169" w:rsidRPr="00A11169" w:rsidRDefault="00A11169" w:rsidP="00A11169">
    <w:pPr>
      <w:tabs>
        <w:tab w:val="center" w:pos="4320"/>
        <w:tab w:val="left" w:pos="7560"/>
        <w:tab w:val="right" w:pos="8640"/>
      </w:tabs>
      <w:ind w:right="-1"/>
      <w:jc w:val="center"/>
      <w:rPr>
        <w:sz w:val="20"/>
        <w:szCs w:val="20"/>
        <w:lang w:val="nb-NO"/>
      </w:rPr>
    </w:pPr>
    <w:r w:rsidRPr="00A11169">
      <w:rPr>
        <w:sz w:val="20"/>
        <w:szCs w:val="20"/>
        <w:lang w:val="nb-NO"/>
      </w:rPr>
      <w:t xml:space="preserve">Telefon: +387 (0)33 707 500, Faks: +387 (0)33 707 550 </w:t>
    </w:r>
    <w:hyperlink r:id="rId1" w:history="1">
      <w:r w:rsidRPr="00A11169">
        <w:rPr>
          <w:color w:val="0000FF"/>
          <w:sz w:val="20"/>
          <w:szCs w:val="20"/>
          <w:u w:val="single"/>
          <w:lang w:val="nb-NO"/>
        </w:rPr>
        <w:t>www.vstv.pravosudje.ba</w:t>
      </w:r>
    </w:hyperlink>
  </w:p>
  <w:p w14:paraId="4997D7CD" w14:textId="77777777" w:rsidR="00A11169" w:rsidRPr="00AD6F95" w:rsidRDefault="00A11169">
    <w:pPr>
      <w:pStyle w:val="Footer"/>
      <w:rPr>
        <w:lang w:val="nb-NO"/>
      </w:rPr>
    </w:pPr>
  </w:p>
  <w:p w14:paraId="613EAECF" w14:textId="77777777" w:rsidR="00A11169" w:rsidRPr="00AD6F95" w:rsidRDefault="00A11169">
    <w:pPr>
      <w:pStyle w:val="Footer"/>
      <w:rPr>
        <w:lang w:val="nb-N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21B9E" w14:textId="77777777" w:rsidR="003F3BF2" w:rsidRDefault="003F3BF2" w:rsidP="00A11169">
      <w:r>
        <w:separator/>
      </w:r>
    </w:p>
  </w:footnote>
  <w:footnote w:type="continuationSeparator" w:id="0">
    <w:p w14:paraId="66DDC728" w14:textId="77777777" w:rsidR="003F3BF2" w:rsidRDefault="003F3BF2" w:rsidP="00A11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9425A" w14:textId="77777777" w:rsidR="00A11169" w:rsidRDefault="00A11169">
    <w:pPr>
      <w:pStyle w:val="Header"/>
    </w:pPr>
    <w:r>
      <w:rPr>
        <w:noProof/>
        <w:color w:val="1F497D"/>
      </w:rPr>
      <w:drawing>
        <wp:inline distT="0" distB="0" distL="0" distR="0" wp14:anchorId="0EB36239" wp14:editId="07D403A4">
          <wp:extent cx="2752725" cy="427320"/>
          <wp:effectExtent l="0" t="0" r="0" b="0"/>
          <wp:docPr id="3" name="Picture 3" descr="cid:image004.jpg@01D31DB3.516129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31DB3.516129B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881601" cy="447326"/>
                  </a:xfrm>
                  <a:prstGeom prst="rect">
                    <a:avLst/>
                  </a:prstGeom>
                  <a:noFill/>
                  <a:ln>
                    <a:noFill/>
                  </a:ln>
                </pic:spPr>
              </pic:pic>
            </a:graphicData>
          </a:graphic>
        </wp:inline>
      </w:drawing>
    </w:r>
    <w:r w:rsidRPr="00A11169">
      <w:rPr>
        <w:noProof/>
      </w:rPr>
      <w:drawing>
        <wp:inline distT="0" distB="0" distL="0" distR="0" wp14:anchorId="30066232" wp14:editId="3EA5D5D2">
          <wp:extent cx="2924175" cy="462280"/>
          <wp:effectExtent l="0" t="0" r="9525" b="0"/>
          <wp:docPr id="4" name="Picture 4" descr="\\vstv-file\vstv$\Projekti\Projekt unapredjenja efikasnosti pravosudja\JEDINICA ZA KOMUNIKACIJU I VIDLJIVOST\Admin\LOGO\logo VST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file\vstv$\Projekti\Projekt unapredjenja efikasnosti pravosudja\JEDINICA ZA KOMUNIKACIJU I VIDLJIVOST\Admin\LOGO\logo VSTV.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950941" cy="466511"/>
                  </a:xfrm>
                  <a:prstGeom prst="rect">
                    <a:avLst/>
                  </a:prstGeom>
                  <a:noFill/>
                  <a:ln>
                    <a:noFill/>
                  </a:ln>
                </pic:spPr>
              </pic:pic>
            </a:graphicData>
          </a:graphic>
        </wp:inline>
      </w:drawing>
    </w:r>
  </w:p>
  <w:p w14:paraId="038348AC" w14:textId="77777777" w:rsidR="00A11169" w:rsidRDefault="00A111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D4F4E"/>
    <w:multiLevelType w:val="hybridMultilevel"/>
    <w:tmpl w:val="B3BA9E6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34A2798D"/>
    <w:multiLevelType w:val="hybridMultilevel"/>
    <w:tmpl w:val="A26EE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B20D66"/>
    <w:multiLevelType w:val="hybridMultilevel"/>
    <w:tmpl w:val="BF104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876E57"/>
    <w:multiLevelType w:val="hybridMultilevel"/>
    <w:tmpl w:val="65F01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A11169"/>
    <w:rsid w:val="000550FE"/>
    <w:rsid w:val="00064C5D"/>
    <w:rsid w:val="0006670E"/>
    <w:rsid w:val="000E1726"/>
    <w:rsid w:val="000E4810"/>
    <w:rsid w:val="00101C6C"/>
    <w:rsid w:val="00110F21"/>
    <w:rsid w:val="00125353"/>
    <w:rsid w:val="00133CFD"/>
    <w:rsid w:val="00164BD0"/>
    <w:rsid w:val="00183E38"/>
    <w:rsid w:val="001906A2"/>
    <w:rsid w:val="001B232D"/>
    <w:rsid w:val="00220849"/>
    <w:rsid w:val="00225207"/>
    <w:rsid w:val="00276A8B"/>
    <w:rsid w:val="002E78F7"/>
    <w:rsid w:val="0030335A"/>
    <w:rsid w:val="0034109C"/>
    <w:rsid w:val="00365ECE"/>
    <w:rsid w:val="003A717D"/>
    <w:rsid w:val="003C1A62"/>
    <w:rsid w:val="003F3BF2"/>
    <w:rsid w:val="004023B5"/>
    <w:rsid w:val="00406CB8"/>
    <w:rsid w:val="00412918"/>
    <w:rsid w:val="004348B1"/>
    <w:rsid w:val="00435EFC"/>
    <w:rsid w:val="00441676"/>
    <w:rsid w:val="0045152C"/>
    <w:rsid w:val="004A5878"/>
    <w:rsid w:val="00576428"/>
    <w:rsid w:val="005869F7"/>
    <w:rsid w:val="005B4AB5"/>
    <w:rsid w:val="005F7F4D"/>
    <w:rsid w:val="0060097A"/>
    <w:rsid w:val="00652628"/>
    <w:rsid w:val="006653E7"/>
    <w:rsid w:val="006B08FA"/>
    <w:rsid w:val="006B4913"/>
    <w:rsid w:val="006C4B76"/>
    <w:rsid w:val="006C70B0"/>
    <w:rsid w:val="006D2769"/>
    <w:rsid w:val="006F47BE"/>
    <w:rsid w:val="00720E5B"/>
    <w:rsid w:val="00721C1A"/>
    <w:rsid w:val="0072780C"/>
    <w:rsid w:val="0076048B"/>
    <w:rsid w:val="00781745"/>
    <w:rsid w:val="007F73FC"/>
    <w:rsid w:val="008866CD"/>
    <w:rsid w:val="009307FA"/>
    <w:rsid w:val="009651D5"/>
    <w:rsid w:val="009A1993"/>
    <w:rsid w:val="009C0B74"/>
    <w:rsid w:val="009C5D1F"/>
    <w:rsid w:val="00A11169"/>
    <w:rsid w:val="00A4168E"/>
    <w:rsid w:val="00AD6F95"/>
    <w:rsid w:val="00AF6075"/>
    <w:rsid w:val="00B07919"/>
    <w:rsid w:val="00B51114"/>
    <w:rsid w:val="00B7138B"/>
    <w:rsid w:val="00BC3CD0"/>
    <w:rsid w:val="00BE2EB1"/>
    <w:rsid w:val="00C439F5"/>
    <w:rsid w:val="00CD10AE"/>
    <w:rsid w:val="00CF170B"/>
    <w:rsid w:val="00D02201"/>
    <w:rsid w:val="00D23072"/>
    <w:rsid w:val="00D9145F"/>
    <w:rsid w:val="00DB6787"/>
    <w:rsid w:val="00DC4F8E"/>
    <w:rsid w:val="00DC65F6"/>
    <w:rsid w:val="00DC7057"/>
    <w:rsid w:val="00DE0164"/>
    <w:rsid w:val="00DF64A2"/>
    <w:rsid w:val="00E16CE6"/>
    <w:rsid w:val="00E20046"/>
    <w:rsid w:val="00E56C2D"/>
    <w:rsid w:val="00EC6E8F"/>
    <w:rsid w:val="00F00C1F"/>
    <w:rsid w:val="00F12DDA"/>
    <w:rsid w:val="00F67658"/>
    <w:rsid w:val="00F76D60"/>
    <w:rsid w:val="00F94E1C"/>
    <w:rsid w:val="00FB4FFF"/>
    <w:rsid w:val="00FF5D9A"/>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337B1"/>
  <w15:docId w15:val="{0AEFF7A4-91B7-6747-B322-21A667C4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658"/>
    <w:pPr>
      <w:jc w:val="left"/>
    </w:pPr>
    <w:rPr>
      <w:rFonts w:eastAsia="Times New Roman" w:cs="Times New Roman"/>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1169"/>
    <w:pPr>
      <w:tabs>
        <w:tab w:val="center" w:pos="4680"/>
        <w:tab w:val="right" w:pos="9360"/>
      </w:tabs>
      <w:jc w:val="both"/>
    </w:pPr>
    <w:rPr>
      <w:rFonts w:eastAsiaTheme="minorHAnsi" w:cstheme="minorBidi"/>
      <w:szCs w:val="22"/>
      <w:lang w:val="en-US"/>
    </w:rPr>
  </w:style>
  <w:style w:type="character" w:customStyle="1" w:styleId="HeaderChar">
    <w:name w:val="Header Char"/>
    <w:basedOn w:val="DefaultParagraphFont"/>
    <w:link w:val="Header"/>
    <w:uiPriority w:val="99"/>
    <w:rsid w:val="00A11169"/>
  </w:style>
  <w:style w:type="paragraph" w:styleId="Footer">
    <w:name w:val="footer"/>
    <w:basedOn w:val="Normal"/>
    <w:link w:val="FooterChar"/>
    <w:uiPriority w:val="99"/>
    <w:unhideWhenUsed/>
    <w:rsid w:val="00A11169"/>
    <w:pPr>
      <w:tabs>
        <w:tab w:val="center" w:pos="4680"/>
        <w:tab w:val="right" w:pos="9360"/>
      </w:tabs>
      <w:jc w:val="both"/>
    </w:pPr>
    <w:rPr>
      <w:rFonts w:eastAsiaTheme="minorHAnsi" w:cstheme="minorBidi"/>
      <w:szCs w:val="22"/>
      <w:lang w:val="en-US"/>
    </w:rPr>
  </w:style>
  <w:style w:type="character" w:customStyle="1" w:styleId="FooterChar">
    <w:name w:val="Footer Char"/>
    <w:basedOn w:val="DefaultParagraphFont"/>
    <w:link w:val="Footer"/>
    <w:uiPriority w:val="99"/>
    <w:rsid w:val="00A11169"/>
  </w:style>
  <w:style w:type="paragraph" w:styleId="NoSpacing">
    <w:name w:val="No Spacing"/>
    <w:uiPriority w:val="1"/>
    <w:qFormat/>
    <w:rsid w:val="00F67658"/>
    <w:pPr>
      <w:jc w:val="left"/>
    </w:pPr>
    <w:rPr>
      <w:rFonts w:eastAsia="Times New Roman" w:cs="Times New Roman"/>
      <w:szCs w:val="24"/>
      <w:lang w:val="hr-HR"/>
    </w:rPr>
  </w:style>
  <w:style w:type="paragraph" w:styleId="CommentText">
    <w:name w:val="annotation text"/>
    <w:basedOn w:val="Normal"/>
    <w:link w:val="CommentTextChar"/>
    <w:semiHidden/>
    <w:rsid w:val="00F12DDA"/>
    <w:rPr>
      <w:sz w:val="20"/>
      <w:szCs w:val="20"/>
    </w:rPr>
  </w:style>
  <w:style w:type="character" w:customStyle="1" w:styleId="CommentTextChar">
    <w:name w:val="Comment Text Char"/>
    <w:basedOn w:val="DefaultParagraphFont"/>
    <w:link w:val="CommentText"/>
    <w:semiHidden/>
    <w:rsid w:val="00F12DDA"/>
    <w:rPr>
      <w:rFonts w:eastAsia="Times New Roman" w:cs="Times New Roman"/>
      <w:sz w:val="20"/>
      <w:szCs w:val="20"/>
      <w:lang w:val="hr-HR"/>
    </w:rPr>
  </w:style>
  <w:style w:type="paragraph" w:customStyle="1" w:styleId="Default">
    <w:name w:val="Default"/>
    <w:rsid w:val="00B07919"/>
    <w:pPr>
      <w:autoSpaceDE w:val="0"/>
      <w:autoSpaceDN w:val="0"/>
      <w:adjustRightInd w:val="0"/>
      <w:jc w:val="left"/>
    </w:pPr>
    <w:rPr>
      <w:rFonts w:ascii="Calibri" w:hAnsi="Calibri" w:cs="Calibri"/>
      <w:color w:val="000000"/>
      <w:szCs w:val="24"/>
    </w:rPr>
  </w:style>
  <w:style w:type="character" w:styleId="CommentReference">
    <w:name w:val="annotation reference"/>
    <w:basedOn w:val="DefaultParagraphFont"/>
    <w:uiPriority w:val="99"/>
    <w:semiHidden/>
    <w:unhideWhenUsed/>
    <w:rsid w:val="000550FE"/>
    <w:rPr>
      <w:sz w:val="16"/>
      <w:szCs w:val="16"/>
    </w:rPr>
  </w:style>
  <w:style w:type="paragraph" w:styleId="CommentSubject">
    <w:name w:val="annotation subject"/>
    <w:basedOn w:val="CommentText"/>
    <w:next w:val="CommentText"/>
    <w:link w:val="CommentSubjectChar"/>
    <w:uiPriority w:val="99"/>
    <w:semiHidden/>
    <w:unhideWhenUsed/>
    <w:rsid w:val="000550FE"/>
    <w:rPr>
      <w:b/>
      <w:bCs/>
    </w:rPr>
  </w:style>
  <w:style w:type="character" w:customStyle="1" w:styleId="CommentSubjectChar">
    <w:name w:val="Comment Subject Char"/>
    <w:basedOn w:val="CommentTextChar"/>
    <w:link w:val="CommentSubject"/>
    <w:uiPriority w:val="99"/>
    <w:semiHidden/>
    <w:rsid w:val="000550FE"/>
    <w:rPr>
      <w:rFonts w:eastAsia="Times New Roman" w:cs="Times New Roman"/>
      <w:b/>
      <w:bCs/>
      <w:sz w:val="20"/>
      <w:szCs w:val="20"/>
      <w:lang w:val="hr-HR"/>
    </w:rPr>
  </w:style>
  <w:style w:type="paragraph" w:styleId="BalloonText">
    <w:name w:val="Balloon Text"/>
    <w:basedOn w:val="Normal"/>
    <w:link w:val="BalloonTextChar"/>
    <w:uiPriority w:val="99"/>
    <w:semiHidden/>
    <w:unhideWhenUsed/>
    <w:rsid w:val="000550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0FE"/>
    <w:rPr>
      <w:rFonts w:ascii="Segoe UI" w:eastAsia="Times New Roman" w:hAnsi="Segoe UI" w:cs="Segoe UI"/>
      <w:sz w:val="18"/>
      <w:szCs w:val="18"/>
      <w:lang w:val="hr-HR"/>
    </w:rPr>
  </w:style>
  <w:style w:type="character" w:styleId="Hyperlink">
    <w:name w:val="Hyperlink"/>
    <w:rsid w:val="00E20046"/>
    <w:rPr>
      <w:color w:val="0000FF"/>
      <w:u w:val="single"/>
    </w:rPr>
  </w:style>
  <w:style w:type="character" w:customStyle="1" w:styleId="alt-edited">
    <w:name w:val="alt-edited"/>
    <w:basedOn w:val="DefaultParagraphFont"/>
    <w:rsid w:val="003A717D"/>
  </w:style>
  <w:style w:type="paragraph" w:styleId="ListParagraph">
    <w:name w:val="List Paragraph"/>
    <w:basedOn w:val="Normal"/>
    <w:uiPriority w:val="34"/>
    <w:qFormat/>
    <w:rsid w:val="009307FA"/>
    <w:pPr>
      <w:spacing w:after="160" w:line="259" w:lineRule="auto"/>
      <w:ind w:left="720"/>
      <w:contextualSpacing/>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90660">
      <w:bodyDiv w:val="1"/>
      <w:marLeft w:val="0"/>
      <w:marRight w:val="0"/>
      <w:marTop w:val="0"/>
      <w:marBottom w:val="0"/>
      <w:divBdr>
        <w:top w:val="none" w:sz="0" w:space="0" w:color="auto"/>
        <w:left w:val="none" w:sz="0" w:space="0" w:color="auto"/>
        <w:bottom w:val="none" w:sz="0" w:space="0" w:color="auto"/>
        <w:right w:val="none" w:sz="0" w:space="0" w:color="auto"/>
      </w:divBdr>
      <w:divsChild>
        <w:div w:id="1499612398">
          <w:marLeft w:val="0"/>
          <w:marRight w:val="0"/>
          <w:marTop w:val="0"/>
          <w:marBottom w:val="0"/>
          <w:divBdr>
            <w:top w:val="none" w:sz="0" w:space="0" w:color="auto"/>
            <w:left w:val="none" w:sz="0" w:space="0" w:color="auto"/>
            <w:bottom w:val="none" w:sz="0" w:space="0" w:color="auto"/>
            <w:right w:val="none" w:sz="0" w:space="0" w:color="auto"/>
          </w:divBdr>
          <w:divsChild>
            <w:div w:id="1510679246">
              <w:marLeft w:val="0"/>
              <w:marRight w:val="0"/>
              <w:marTop w:val="0"/>
              <w:marBottom w:val="0"/>
              <w:divBdr>
                <w:top w:val="none" w:sz="0" w:space="0" w:color="auto"/>
                <w:left w:val="none" w:sz="0" w:space="0" w:color="auto"/>
                <w:bottom w:val="none" w:sz="0" w:space="0" w:color="auto"/>
                <w:right w:val="none" w:sz="0" w:space="0" w:color="auto"/>
              </w:divBdr>
              <w:divsChild>
                <w:div w:id="762724542">
                  <w:marLeft w:val="0"/>
                  <w:marRight w:val="0"/>
                  <w:marTop w:val="0"/>
                  <w:marBottom w:val="0"/>
                  <w:divBdr>
                    <w:top w:val="none" w:sz="0" w:space="0" w:color="auto"/>
                    <w:left w:val="none" w:sz="0" w:space="0" w:color="auto"/>
                    <w:bottom w:val="none" w:sz="0" w:space="0" w:color="auto"/>
                    <w:right w:val="none" w:sz="0" w:space="0" w:color="auto"/>
                  </w:divBdr>
                  <w:divsChild>
                    <w:div w:id="1562517344">
                      <w:marLeft w:val="0"/>
                      <w:marRight w:val="0"/>
                      <w:marTop w:val="0"/>
                      <w:marBottom w:val="0"/>
                      <w:divBdr>
                        <w:top w:val="none" w:sz="0" w:space="0" w:color="auto"/>
                        <w:left w:val="none" w:sz="0" w:space="0" w:color="auto"/>
                        <w:bottom w:val="none" w:sz="0" w:space="0" w:color="auto"/>
                        <w:right w:val="none" w:sz="0" w:space="0" w:color="auto"/>
                      </w:divBdr>
                      <w:divsChild>
                        <w:div w:id="1036273935">
                          <w:marLeft w:val="0"/>
                          <w:marRight w:val="0"/>
                          <w:marTop w:val="0"/>
                          <w:marBottom w:val="0"/>
                          <w:divBdr>
                            <w:top w:val="none" w:sz="0" w:space="0" w:color="auto"/>
                            <w:left w:val="none" w:sz="0" w:space="0" w:color="auto"/>
                            <w:bottom w:val="none" w:sz="0" w:space="0" w:color="auto"/>
                            <w:right w:val="none" w:sz="0" w:space="0" w:color="auto"/>
                          </w:divBdr>
                          <w:divsChild>
                            <w:div w:id="2115316917">
                              <w:marLeft w:val="0"/>
                              <w:marRight w:val="0"/>
                              <w:marTop w:val="0"/>
                              <w:marBottom w:val="0"/>
                              <w:divBdr>
                                <w:top w:val="none" w:sz="0" w:space="0" w:color="auto"/>
                                <w:left w:val="none" w:sz="0" w:space="0" w:color="auto"/>
                                <w:bottom w:val="none" w:sz="0" w:space="0" w:color="auto"/>
                                <w:right w:val="none" w:sz="0" w:space="0" w:color="auto"/>
                              </w:divBdr>
                              <w:divsChild>
                                <w:div w:id="586963998">
                                  <w:marLeft w:val="0"/>
                                  <w:marRight w:val="0"/>
                                  <w:marTop w:val="0"/>
                                  <w:marBottom w:val="0"/>
                                  <w:divBdr>
                                    <w:top w:val="none" w:sz="0" w:space="0" w:color="auto"/>
                                    <w:left w:val="none" w:sz="0" w:space="0" w:color="auto"/>
                                    <w:bottom w:val="none" w:sz="0" w:space="0" w:color="auto"/>
                                    <w:right w:val="none" w:sz="0" w:space="0" w:color="auto"/>
                                  </w:divBdr>
                                  <w:divsChild>
                                    <w:div w:id="484127231">
                                      <w:marLeft w:val="0"/>
                                      <w:marRight w:val="0"/>
                                      <w:marTop w:val="0"/>
                                      <w:marBottom w:val="0"/>
                                      <w:divBdr>
                                        <w:top w:val="none" w:sz="0" w:space="0" w:color="auto"/>
                                        <w:left w:val="none" w:sz="0" w:space="0" w:color="auto"/>
                                        <w:bottom w:val="none" w:sz="0" w:space="0" w:color="auto"/>
                                        <w:right w:val="none" w:sz="0" w:space="0" w:color="auto"/>
                                      </w:divBdr>
                                      <w:divsChild>
                                        <w:div w:id="685330949">
                                          <w:marLeft w:val="0"/>
                                          <w:marRight w:val="0"/>
                                          <w:marTop w:val="0"/>
                                          <w:marBottom w:val="0"/>
                                          <w:divBdr>
                                            <w:top w:val="none" w:sz="0" w:space="0" w:color="auto"/>
                                            <w:left w:val="none" w:sz="0" w:space="0" w:color="auto"/>
                                            <w:bottom w:val="none" w:sz="0" w:space="0" w:color="auto"/>
                                            <w:right w:val="none" w:sz="0" w:space="0" w:color="auto"/>
                                          </w:divBdr>
                                          <w:divsChild>
                                            <w:div w:id="163941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6581738">
      <w:bodyDiv w:val="1"/>
      <w:marLeft w:val="0"/>
      <w:marRight w:val="0"/>
      <w:marTop w:val="0"/>
      <w:marBottom w:val="0"/>
      <w:divBdr>
        <w:top w:val="none" w:sz="0" w:space="0" w:color="auto"/>
        <w:left w:val="none" w:sz="0" w:space="0" w:color="auto"/>
        <w:bottom w:val="none" w:sz="0" w:space="0" w:color="auto"/>
        <w:right w:val="none" w:sz="0" w:space="0" w:color="auto"/>
      </w:divBdr>
    </w:div>
    <w:div w:id="187939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enlargement/taie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hjpc.b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3.jpg@01D32591.1DA0F61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09679-F0B6-4AFD-99E2-1CC86F305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296</Words>
  <Characters>1689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Radosavljevic</dc:creator>
  <cp:lastModifiedBy>Nina Radosavljevic</cp:lastModifiedBy>
  <cp:revision>147</cp:revision>
  <dcterms:created xsi:type="dcterms:W3CDTF">2019-03-05T10:33:00Z</dcterms:created>
  <dcterms:modified xsi:type="dcterms:W3CDTF">2019-10-24T12:28:00Z</dcterms:modified>
</cp:coreProperties>
</file>