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5503D" w14:textId="77777777" w:rsidR="00A26E05" w:rsidRDefault="00A26E05" w:rsidP="00D24D8F">
      <w:pPr>
        <w:jc w:val="center"/>
        <w:rPr>
          <w:b/>
          <w:lang w:val="en-GB"/>
        </w:rPr>
      </w:pPr>
      <w:r w:rsidRPr="00724705">
        <w:rPr>
          <w:b/>
          <w:lang w:val="en-GB"/>
        </w:rPr>
        <w:t xml:space="preserve">TAIEX </w:t>
      </w:r>
      <w:r>
        <w:rPr>
          <w:b/>
          <w:lang w:val="en-GB"/>
        </w:rPr>
        <w:t xml:space="preserve">WORKSHOP ON THE USE OF PLEA BARGAINING IN BIH </w:t>
      </w:r>
    </w:p>
    <w:p w14:paraId="2CC2DE04" w14:textId="57107930" w:rsidR="00A26E05" w:rsidRDefault="00A26E05" w:rsidP="00D24D8F">
      <w:pPr>
        <w:jc w:val="center"/>
        <w:rPr>
          <w:b/>
          <w:lang w:val="en-GB"/>
        </w:rPr>
      </w:pPr>
      <w:r>
        <w:rPr>
          <w:b/>
          <w:lang w:val="en-GB"/>
        </w:rPr>
        <w:t xml:space="preserve">SARAJEVO, </w:t>
      </w:r>
      <w:r w:rsidRPr="00724705">
        <w:rPr>
          <w:b/>
          <w:lang w:val="en-GB"/>
        </w:rPr>
        <w:t>15 AND 16 APRIL 2019</w:t>
      </w:r>
    </w:p>
    <w:p w14:paraId="2CDE3197" w14:textId="5573821D" w:rsidR="00D24D8F" w:rsidRPr="00724705" w:rsidRDefault="00323842" w:rsidP="00D24D8F">
      <w:pPr>
        <w:jc w:val="center"/>
        <w:rPr>
          <w:b/>
          <w:lang w:val="en-GB"/>
        </w:rPr>
      </w:pPr>
      <w:r>
        <w:rPr>
          <w:b/>
          <w:lang w:val="en-GB"/>
        </w:rPr>
        <w:t xml:space="preserve">DRAFT </w:t>
      </w:r>
      <w:r w:rsidR="007503A1" w:rsidRPr="00724705">
        <w:rPr>
          <w:b/>
          <w:lang w:val="en-GB"/>
        </w:rPr>
        <w:t>CONCLUSIONS</w:t>
      </w:r>
      <w:r w:rsidR="00D24D8F" w:rsidRPr="00724705">
        <w:rPr>
          <w:b/>
          <w:lang w:val="en-GB"/>
        </w:rPr>
        <w:t xml:space="preserve"> </w:t>
      </w:r>
    </w:p>
    <w:p w14:paraId="63214405" w14:textId="77777777" w:rsidR="00D24D8F" w:rsidRPr="00724705" w:rsidRDefault="00D24D8F" w:rsidP="00D24D8F">
      <w:pPr>
        <w:rPr>
          <w:b/>
          <w:lang w:val="en-GB"/>
        </w:rPr>
      </w:pPr>
    </w:p>
    <w:p w14:paraId="54A6E35E" w14:textId="5B3D9CF0" w:rsidR="00323842" w:rsidRDefault="00323842" w:rsidP="007503A1">
      <w:pPr>
        <w:jc w:val="both"/>
        <w:rPr>
          <w:lang w:val="en-GB"/>
        </w:rPr>
      </w:pPr>
      <w:r>
        <w:rPr>
          <w:lang w:val="en-GB"/>
        </w:rPr>
        <w:t xml:space="preserve">Plea bargaining in Bosnia and Herzegovina does not integrate into a broader criminal policy, and its use seems excessively discretionary in particular when it comes to corruption, organised crime and other serious crime offences.  </w:t>
      </w:r>
    </w:p>
    <w:p w14:paraId="026E0699" w14:textId="7C84586D" w:rsidR="00B92B97" w:rsidRDefault="00323842" w:rsidP="007503A1">
      <w:pPr>
        <w:jc w:val="both"/>
        <w:rPr>
          <w:lang w:val="en-GB"/>
        </w:rPr>
      </w:pPr>
      <w:r>
        <w:rPr>
          <w:lang w:val="en-GB"/>
        </w:rPr>
        <w:t>The c</w:t>
      </w:r>
      <w:r w:rsidR="007503A1" w:rsidRPr="00724705">
        <w:rPr>
          <w:lang w:val="en-GB"/>
        </w:rPr>
        <w:t xml:space="preserve">urrent legal </w:t>
      </w:r>
      <w:r w:rsidR="00A26E05">
        <w:rPr>
          <w:lang w:val="en-GB"/>
        </w:rPr>
        <w:t xml:space="preserve">framework does not contain effective safeguards </w:t>
      </w:r>
      <w:r w:rsidR="00B92B97">
        <w:rPr>
          <w:lang w:val="en-GB"/>
        </w:rPr>
        <w:t xml:space="preserve">ensuring that </w:t>
      </w:r>
      <w:r w:rsidR="007503A1" w:rsidRPr="00724705">
        <w:rPr>
          <w:lang w:val="en-GB"/>
        </w:rPr>
        <w:t xml:space="preserve">the </w:t>
      </w:r>
      <w:proofErr w:type="gramStart"/>
      <w:r w:rsidR="007503A1" w:rsidRPr="00724705">
        <w:rPr>
          <w:lang w:val="en-GB"/>
        </w:rPr>
        <w:t>plea bargaining</w:t>
      </w:r>
      <w:proofErr w:type="gramEnd"/>
      <w:r w:rsidR="007503A1" w:rsidRPr="00724705">
        <w:rPr>
          <w:lang w:val="en-GB"/>
        </w:rPr>
        <w:t xml:space="preserve"> </w:t>
      </w:r>
      <w:r w:rsidR="00B92B97">
        <w:rPr>
          <w:lang w:val="en-GB"/>
        </w:rPr>
        <w:t>instrument</w:t>
      </w:r>
      <w:r w:rsidR="00A26E05">
        <w:rPr>
          <w:lang w:val="en-GB"/>
        </w:rPr>
        <w:t xml:space="preserve">, as used </w:t>
      </w:r>
      <w:r w:rsidR="007503A1" w:rsidRPr="00724705">
        <w:rPr>
          <w:lang w:val="en-GB"/>
        </w:rPr>
        <w:t>in prosecutor's offices and courts</w:t>
      </w:r>
      <w:r w:rsidR="00A26E05">
        <w:rPr>
          <w:lang w:val="en-GB"/>
        </w:rPr>
        <w:t xml:space="preserve"> in Bosnia and Herzegovina</w:t>
      </w:r>
      <w:r w:rsidR="00B92B97">
        <w:rPr>
          <w:lang w:val="en-GB"/>
        </w:rPr>
        <w:t xml:space="preserve"> </w:t>
      </w:r>
      <w:r w:rsidR="0028149E">
        <w:rPr>
          <w:lang w:val="en-GB"/>
        </w:rPr>
        <w:t>(</w:t>
      </w:r>
      <w:proofErr w:type="spellStart"/>
      <w:r w:rsidR="0028149E">
        <w:rPr>
          <w:lang w:val="en-GB"/>
        </w:rPr>
        <w:t>BiH</w:t>
      </w:r>
      <w:proofErr w:type="spellEnd"/>
      <w:r w:rsidR="0028149E">
        <w:rPr>
          <w:lang w:val="en-GB"/>
        </w:rPr>
        <w:t xml:space="preserve">) </w:t>
      </w:r>
      <w:r w:rsidR="00B92B97">
        <w:rPr>
          <w:lang w:val="en-GB"/>
        </w:rPr>
        <w:t>mitigates the risks of potential violation of fundamental human rights</w:t>
      </w:r>
      <w:r w:rsidR="007503A1" w:rsidRPr="00724705">
        <w:rPr>
          <w:lang w:val="en-GB"/>
        </w:rPr>
        <w:t>.</w:t>
      </w:r>
    </w:p>
    <w:p w14:paraId="3EAFA2EE" w14:textId="229B413A" w:rsidR="00A00EEA" w:rsidRDefault="00323842" w:rsidP="007503A1">
      <w:pPr>
        <w:jc w:val="both"/>
        <w:rPr>
          <w:lang w:val="en-GB"/>
        </w:rPr>
      </w:pPr>
      <w:r>
        <w:rPr>
          <w:lang w:val="en-GB"/>
        </w:rPr>
        <w:t>A mere</w:t>
      </w:r>
      <w:r w:rsidR="007503A1" w:rsidRPr="00724705">
        <w:rPr>
          <w:lang w:val="en-GB"/>
        </w:rPr>
        <w:t xml:space="preserve"> formal</w:t>
      </w:r>
      <w:r w:rsidR="002A07B8">
        <w:rPr>
          <w:lang w:val="en-GB"/>
        </w:rPr>
        <w:t>istic</w:t>
      </w:r>
      <w:r w:rsidR="007503A1" w:rsidRPr="00724705">
        <w:rPr>
          <w:lang w:val="en-GB"/>
        </w:rPr>
        <w:t xml:space="preserve"> review of the agreement, without detailed evaluation of evidence</w:t>
      </w:r>
      <w:r w:rsidR="002A07B8">
        <w:rPr>
          <w:lang w:val="en-GB"/>
        </w:rPr>
        <w:t xml:space="preserve"> and of all interests involved (victims, injured parties, state) </w:t>
      </w:r>
      <w:r w:rsidR="00A00EEA">
        <w:rPr>
          <w:lang w:val="en-GB"/>
        </w:rPr>
        <w:t xml:space="preserve">does not comply with a fair judicial process and </w:t>
      </w:r>
      <w:r w:rsidR="007503A1" w:rsidRPr="00724705">
        <w:rPr>
          <w:lang w:val="en-GB"/>
        </w:rPr>
        <w:t xml:space="preserve">may have a negative impact on the </w:t>
      </w:r>
      <w:r w:rsidR="002A07B8">
        <w:rPr>
          <w:lang w:val="en-GB"/>
        </w:rPr>
        <w:t xml:space="preserve">goals that would be </w:t>
      </w:r>
      <w:r w:rsidR="007503A1" w:rsidRPr="00724705">
        <w:rPr>
          <w:lang w:val="en-GB"/>
        </w:rPr>
        <w:t>achieved by the agreement. It is therefore necessary t</w:t>
      </w:r>
      <w:r w:rsidR="002A07B8">
        <w:rPr>
          <w:lang w:val="en-GB"/>
        </w:rPr>
        <w:t xml:space="preserve">o undertake the following actions: </w:t>
      </w:r>
    </w:p>
    <w:p w14:paraId="1937FCFE" w14:textId="4C11B2A7" w:rsidR="007503A1" w:rsidRDefault="00A00EEA" w:rsidP="00A00EEA">
      <w:pPr>
        <w:pStyle w:val="ListParagraph"/>
        <w:numPr>
          <w:ilvl w:val="0"/>
          <w:numId w:val="1"/>
        </w:numPr>
        <w:jc w:val="both"/>
        <w:rPr>
          <w:lang w:val="en-GB"/>
        </w:rPr>
      </w:pPr>
      <w:r>
        <w:rPr>
          <w:lang w:val="en-GB"/>
        </w:rPr>
        <w:t>C</w:t>
      </w:r>
      <w:r w:rsidR="007503A1" w:rsidRPr="00A00EEA">
        <w:rPr>
          <w:lang w:val="en-GB"/>
        </w:rPr>
        <w:t>ourts</w:t>
      </w:r>
      <w:r>
        <w:rPr>
          <w:lang w:val="en-GB"/>
        </w:rPr>
        <w:t xml:space="preserve">, prosecutor’s offices and defence counsels need to </w:t>
      </w:r>
      <w:r w:rsidR="007503A1" w:rsidRPr="00A00EEA">
        <w:rPr>
          <w:lang w:val="en-GB"/>
        </w:rPr>
        <w:t>pay special attention to the presented evidence when assessing such agreements.</w:t>
      </w:r>
    </w:p>
    <w:p w14:paraId="5DFF9DE9" w14:textId="77777777" w:rsidR="00A00EEA" w:rsidRDefault="00A00EEA" w:rsidP="00A00EEA">
      <w:pPr>
        <w:pStyle w:val="ListParagraph"/>
        <w:jc w:val="both"/>
        <w:rPr>
          <w:lang w:val="en-GB"/>
        </w:rPr>
      </w:pPr>
    </w:p>
    <w:p w14:paraId="562C88E8" w14:textId="24B55B33" w:rsidR="00985099" w:rsidRDefault="005E3C87" w:rsidP="00D70E1E">
      <w:pPr>
        <w:pStyle w:val="ListParagraph"/>
        <w:numPr>
          <w:ilvl w:val="0"/>
          <w:numId w:val="1"/>
        </w:numPr>
        <w:jc w:val="both"/>
        <w:rPr>
          <w:lang w:val="en-GB"/>
        </w:rPr>
      </w:pPr>
      <w:r>
        <w:rPr>
          <w:lang w:val="en-GB"/>
        </w:rPr>
        <w:t>In a short term, and b</w:t>
      </w:r>
      <w:r w:rsidR="007503A1" w:rsidRPr="00A00EEA">
        <w:rPr>
          <w:lang w:val="en-GB"/>
        </w:rPr>
        <w:t xml:space="preserve">ased on an analysis of </w:t>
      </w:r>
      <w:r w:rsidR="00A00EEA">
        <w:rPr>
          <w:lang w:val="en-GB"/>
        </w:rPr>
        <w:t xml:space="preserve">international and European standards and </w:t>
      </w:r>
      <w:r w:rsidR="007503A1" w:rsidRPr="00A00EEA">
        <w:rPr>
          <w:lang w:val="en-GB"/>
        </w:rPr>
        <w:t xml:space="preserve">best practices in the European Union </w:t>
      </w:r>
      <w:r w:rsidR="00A00EEA">
        <w:rPr>
          <w:lang w:val="en-GB"/>
        </w:rPr>
        <w:t>member states</w:t>
      </w:r>
      <w:r w:rsidR="007503A1" w:rsidRPr="00A00EEA">
        <w:rPr>
          <w:lang w:val="en-GB"/>
        </w:rPr>
        <w:t xml:space="preserve"> in this area, the Standing Committee for Efficiency of Prosecutor's Offices, i.e. the High Judicial and Prosecutorial Council of </w:t>
      </w:r>
      <w:proofErr w:type="spellStart"/>
      <w:r w:rsidR="007503A1" w:rsidRPr="00A00EEA">
        <w:rPr>
          <w:lang w:val="en-GB"/>
        </w:rPr>
        <w:t>BiH</w:t>
      </w:r>
      <w:proofErr w:type="spellEnd"/>
      <w:r w:rsidR="007503A1" w:rsidRPr="00A00EEA">
        <w:rPr>
          <w:lang w:val="en-GB"/>
        </w:rPr>
        <w:t xml:space="preserve"> should issue </w:t>
      </w:r>
      <w:bookmarkStart w:id="0" w:name="_GoBack"/>
      <w:bookmarkEnd w:id="0"/>
      <w:r w:rsidR="007503A1" w:rsidRPr="00A00EEA">
        <w:rPr>
          <w:lang w:val="en-GB"/>
        </w:rPr>
        <w:t xml:space="preserve">guidelines </w:t>
      </w:r>
      <w:r w:rsidR="00A00EEA">
        <w:rPr>
          <w:lang w:val="en-GB"/>
        </w:rPr>
        <w:t xml:space="preserve">in order to initiate </w:t>
      </w:r>
      <w:r w:rsidR="00323842">
        <w:rPr>
          <w:lang w:val="en-GB"/>
        </w:rPr>
        <w:t xml:space="preserve">a coordinated </w:t>
      </w:r>
      <w:r w:rsidR="00A00EEA">
        <w:rPr>
          <w:lang w:val="en-GB"/>
        </w:rPr>
        <w:t>adoption of</w:t>
      </w:r>
      <w:r w:rsidR="007503A1" w:rsidRPr="00A00EEA">
        <w:rPr>
          <w:lang w:val="en-GB"/>
        </w:rPr>
        <w:t xml:space="preserve"> mandatory instructions </w:t>
      </w:r>
      <w:r w:rsidR="00A00EEA">
        <w:rPr>
          <w:lang w:val="en-GB"/>
        </w:rPr>
        <w:t xml:space="preserve">by the Chief Prosecutors. </w:t>
      </w:r>
    </w:p>
    <w:p w14:paraId="058D0C31" w14:textId="77777777" w:rsidR="00985099" w:rsidRPr="00985099" w:rsidRDefault="00985099" w:rsidP="00985099">
      <w:pPr>
        <w:pStyle w:val="ListParagraph"/>
        <w:rPr>
          <w:lang w:val="en-GB"/>
        </w:rPr>
      </w:pPr>
    </w:p>
    <w:p w14:paraId="19DAF5BA" w14:textId="43A9458F" w:rsidR="00985099" w:rsidRDefault="00A00EEA" w:rsidP="00D70E1E">
      <w:pPr>
        <w:pStyle w:val="ListParagraph"/>
        <w:numPr>
          <w:ilvl w:val="0"/>
          <w:numId w:val="1"/>
        </w:numPr>
        <w:jc w:val="both"/>
        <w:rPr>
          <w:lang w:val="en-GB"/>
        </w:rPr>
      </w:pPr>
      <w:r>
        <w:rPr>
          <w:lang w:val="en-GB"/>
        </w:rPr>
        <w:t>These instructions</w:t>
      </w:r>
      <w:r w:rsidR="00093F33">
        <w:rPr>
          <w:lang w:val="en-GB"/>
        </w:rPr>
        <w:t>, which must be mutually harmonised</w:t>
      </w:r>
      <w:r>
        <w:rPr>
          <w:lang w:val="en-GB"/>
        </w:rPr>
        <w:t xml:space="preserve"> shall</w:t>
      </w:r>
      <w:r w:rsidR="007503A1" w:rsidRPr="00A00EEA">
        <w:rPr>
          <w:lang w:val="en-GB"/>
        </w:rPr>
        <w:t xml:space="preserve"> define how to negotiate</w:t>
      </w:r>
      <w:r w:rsidR="0028149E">
        <w:rPr>
          <w:lang w:val="en-GB"/>
        </w:rPr>
        <w:t xml:space="preserve"> better</w:t>
      </w:r>
      <w:r w:rsidR="00B0417A">
        <w:rPr>
          <w:lang w:val="en-GB"/>
        </w:rPr>
        <w:t xml:space="preserve"> the agreements</w:t>
      </w:r>
      <w:r w:rsidR="007503A1" w:rsidRPr="00A00EEA">
        <w:rPr>
          <w:lang w:val="en-GB"/>
        </w:rPr>
        <w:t xml:space="preserve">, </w:t>
      </w:r>
      <w:r w:rsidR="0028149E">
        <w:rPr>
          <w:lang w:val="en-GB"/>
        </w:rPr>
        <w:t xml:space="preserve">precise </w:t>
      </w:r>
      <w:r w:rsidR="007503A1" w:rsidRPr="00A00EEA">
        <w:rPr>
          <w:lang w:val="en-GB"/>
        </w:rPr>
        <w:t>the form and content</w:t>
      </w:r>
      <w:r w:rsidR="00D70E1E" w:rsidRPr="00A00EEA">
        <w:rPr>
          <w:lang w:val="en-GB"/>
        </w:rPr>
        <w:t>s</w:t>
      </w:r>
      <w:r w:rsidR="007503A1" w:rsidRPr="00A00EEA">
        <w:rPr>
          <w:lang w:val="en-GB"/>
        </w:rPr>
        <w:t xml:space="preserve"> of the agreements a</w:t>
      </w:r>
      <w:r w:rsidR="0028149E">
        <w:rPr>
          <w:lang w:val="en-GB"/>
        </w:rPr>
        <w:t xml:space="preserve">s well as the way of </w:t>
      </w:r>
      <w:r w:rsidR="007503A1" w:rsidRPr="00A00EEA">
        <w:rPr>
          <w:lang w:val="en-GB"/>
        </w:rPr>
        <w:t>calculat</w:t>
      </w:r>
      <w:r w:rsidR="0028149E">
        <w:rPr>
          <w:lang w:val="en-GB"/>
        </w:rPr>
        <w:t>ion of the</w:t>
      </w:r>
      <w:r w:rsidR="007503A1" w:rsidRPr="00A00EEA">
        <w:rPr>
          <w:lang w:val="en-GB"/>
        </w:rPr>
        <w:t xml:space="preserve"> proposed sanctions</w:t>
      </w:r>
      <w:r>
        <w:rPr>
          <w:lang w:val="en-GB"/>
        </w:rPr>
        <w:t xml:space="preserve"> within legal limits</w:t>
      </w:r>
      <w:r w:rsidR="007503A1" w:rsidRPr="00A00EEA">
        <w:rPr>
          <w:lang w:val="en-GB"/>
        </w:rPr>
        <w:t xml:space="preserve">, </w:t>
      </w:r>
      <w:r w:rsidR="0028149E">
        <w:rPr>
          <w:lang w:val="en-GB"/>
        </w:rPr>
        <w:t xml:space="preserve">all with a view of improving </w:t>
      </w:r>
      <w:r w:rsidR="007503A1" w:rsidRPr="00A00EEA">
        <w:rPr>
          <w:lang w:val="en-GB"/>
        </w:rPr>
        <w:t>the existing mandatory instructions</w:t>
      </w:r>
      <w:r w:rsidR="0028149E">
        <w:rPr>
          <w:lang w:val="en-GB"/>
        </w:rPr>
        <w:t xml:space="preserve"> at </w:t>
      </w:r>
      <w:r w:rsidR="007503A1" w:rsidRPr="00A00EEA">
        <w:rPr>
          <w:lang w:val="en-GB"/>
        </w:rPr>
        <w:t xml:space="preserve">all four levels in </w:t>
      </w:r>
      <w:proofErr w:type="spellStart"/>
      <w:r w:rsidR="007503A1" w:rsidRPr="00A00EEA">
        <w:rPr>
          <w:lang w:val="en-GB"/>
        </w:rPr>
        <w:t>BiH</w:t>
      </w:r>
      <w:proofErr w:type="spellEnd"/>
      <w:r w:rsidR="00B51D36">
        <w:rPr>
          <w:lang w:val="en-GB"/>
        </w:rPr>
        <w:t xml:space="preserve"> and ensure transparency of plea agreements</w:t>
      </w:r>
      <w:r w:rsidR="00B0417A">
        <w:rPr>
          <w:lang w:val="en-GB"/>
        </w:rPr>
        <w:t xml:space="preserve">, notably by documenting all </w:t>
      </w:r>
      <w:r w:rsidR="00F81125">
        <w:rPr>
          <w:lang w:val="en-GB"/>
        </w:rPr>
        <w:t xml:space="preserve">steps in the </w:t>
      </w:r>
      <w:r w:rsidR="00323842">
        <w:rPr>
          <w:lang w:val="en-GB"/>
        </w:rPr>
        <w:t xml:space="preserve">negotiation </w:t>
      </w:r>
      <w:r w:rsidR="00F81125">
        <w:rPr>
          <w:lang w:val="en-GB"/>
        </w:rPr>
        <w:t xml:space="preserve">process. </w:t>
      </w:r>
      <w:r w:rsidR="00985099">
        <w:rPr>
          <w:lang w:val="en-GB"/>
        </w:rPr>
        <w:t xml:space="preserve"> </w:t>
      </w:r>
    </w:p>
    <w:p w14:paraId="0011928D" w14:textId="77777777" w:rsidR="00985099" w:rsidRPr="00985099" w:rsidRDefault="00985099" w:rsidP="00985099">
      <w:pPr>
        <w:pStyle w:val="ListParagraph"/>
        <w:rPr>
          <w:lang w:val="en-GB"/>
        </w:rPr>
      </w:pPr>
    </w:p>
    <w:p w14:paraId="3F4EA2DC" w14:textId="3E1D449A" w:rsidR="00B0417A" w:rsidRPr="00B0417A" w:rsidRDefault="00E0405C" w:rsidP="00B0417A">
      <w:pPr>
        <w:pStyle w:val="ListParagraph"/>
        <w:numPr>
          <w:ilvl w:val="0"/>
          <w:numId w:val="1"/>
        </w:numPr>
        <w:jc w:val="both"/>
        <w:rPr>
          <w:lang w:val="en-GB"/>
        </w:rPr>
      </w:pPr>
      <w:r>
        <w:rPr>
          <w:lang w:val="en-GB"/>
        </w:rPr>
        <w:t xml:space="preserve">Ultimately, </w:t>
      </w:r>
      <w:r w:rsidRPr="005E3C87">
        <w:rPr>
          <w:lang w:val="en-GB"/>
        </w:rPr>
        <w:t xml:space="preserve">the existing legal framework  - the relevant </w:t>
      </w:r>
      <w:r>
        <w:rPr>
          <w:lang w:val="en-GB"/>
        </w:rPr>
        <w:t>sections</w:t>
      </w:r>
      <w:r w:rsidRPr="005E3C87">
        <w:rPr>
          <w:lang w:val="en-GB"/>
        </w:rPr>
        <w:t xml:space="preserve"> of the Criminal Procedure Code</w:t>
      </w:r>
      <w:r>
        <w:rPr>
          <w:lang w:val="en-GB"/>
        </w:rPr>
        <w:t xml:space="preserve">s in </w:t>
      </w:r>
      <w:proofErr w:type="spellStart"/>
      <w:r>
        <w:rPr>
          <w:lang w:val="en-GB"/>
        </w:rPr>
        <w:t>BiH</w:t>
      </w:r>
      <w:proofErr w:type="spellEnd"/>
      <w:r>
        <w:rPr>
          <w:lang w:val="en-GB"/>
        </w:rPr>
        <w:t xml:space="preserve"> must be amended in order to improve the conditions regulating the use of plea bargaining</w:t>
      </w:r>
      <w:r w:rsidRPr="005E3C87">
        <w:rPr>
          <w:lang w:val="en-GB"/>
        </w:rPr>
        <w:t xml:space="preserve"> (</w:t>
      </w:r>
      <w:r w:rsidRPr="00E0405C">
        <w:rPr>
          <w:i/>
          <w:lang w:val="en-GB"/>
        </w:rPr>
        <w:t>e.g</w:t>
      </w:r>
      <w:r>
        <w:rPr>
          <w:i/>
          <w:lang w:val="en-GB"/>
        </w:rPr>
        <w:t>.,</w:t>
      </w:r>
      <w:r w:rsidRPr="00E0405C">
        <w:rPr>
          <w:i/>
          <w:lang w:val="en-GB"/>
        </w:rPr>
        <w:t xml:space="preserve"> </w:t>
      </w:r>
      <w:r w:rsidRPr="005E3C87">
        <w:rPr>
          <w:i/>
          <w:lang w:val="en-GB"/>
        </w:rPr>
        <w:t>timeframe for proposing an agreement, abandoning an agreement, timeframe for considering an agreement, the order of the plea agreement hearing, whether the hearing should be public or not</w:t>
      </w:r>
      <w:r w:rsidR="00B51D36">
        <w:rPr>
          <w:i/>
          <w:lang w:val="en-GB"/>
        </w:rPr>
        <w:t xml:space="preserve">, </w:t>
      </w:r>
      <w:r>
        <w:rPr>
          <w:i/>
          <w:lang w:val="en-GB"/>
        </w:rPr>
        <w:t xml:space="preserve">specifying which types of crime are suitable for using the plea bargaining – as already recommended in the 2017 peer review on corruption/organised crime, asset seizure </w:t>
      </w:r>
      <w:r w:rsidRPr="005E3C87">
        <w:rPr>
          <w:i/>
          <w:lang w:val="en-GB"/>
        </w:rPr>
        <w:t>etc.</w:t>
      </w:r>
      <w:r w:rsidRPr="005E3C87">
        <w:rPr>
          <w:lang w:val="en-GB"/>
        </w:rPr>
        <w:t>).</w:t>
      </w:r>
      <w:r w:rsidR="00093F33">
        <w:rPr>
          <w:lang w:val="en-GB"/>
        </w:rPr>
        <w:t xml:space="preserve"> </w:t>
      </w:r>
      <w:r w:rsidR="00B0417A">
        <w:rPr>
          <w:lang w:val="en-GB"/>
        </w:rPr>
        <w:t xml:space="preserve">These amendments must ensure harmonisation between provisions of all four </w:t>
      </w:r>
      <w:r w:rsidR="00093F33">
        <w:rPr>
          <w:lang w:val="en-GB"/>
        </w:rPr>
        <w:t xml:space="preserve">criminal procedure codes in BIH. </w:t>
      </w:r>
    </w:p>
    <w:p w14:paraId="5274E4B0" w14:textId="77777777" w:rsidR="00E0405C" w:rsidRDefault="00E0405C" w:rsidP="00E0405C">
      <w:pPr>
        <w:pStyle w:val="ListParagraph"/>
        <w:jc w:val="both"/>
        <w:rPr>
          <w:lang w:val="en-GB"/>
        </w:rPr>
      </w:pPr>
    </w:p>
    <w:p w14:paraId="1566A35A" w14:textId="20BD6A7B" w:rsidR="00801626" w:rsidRPr="00801626" w:rsidRDefault="007503A1" w:rsidP="00801626">
      <w:pPr>
        <w:pStyle w:val="ListParagraph"/>
        <w:numPr>
          <w:ilvl w:val="0"/>
          <w:numId w:val="1"/>
        </w:numPr>
        <w:jc w:val="both"/>
        <w:rPr>
          <w:lang w:val="en-GB"/>
        </w:rPr>
      </w:pPr>
      <w:r w:rsidRPr="00985099">
        <w:rPr>
          <w:lang w:val="en-GB"/>
        </w:rPr>
        <w:t>In preparing the</w:t>
      </w:r>
      <w:r w:rsidR="00E0405C">
        <w:rPr>
          <w:lang w:val="en-GB"/>
        </w:rPr>
        <w:t xml:space="preserve"> above</w:t>
      </w:r>
      <w:r w:rsidRPr="00985099">
        <w:rPr>
          <w:lang w:val="en-GB"/>
        </w:rPr>
        <w:t xml:space="preserve"> guidelines</w:t>
      </w:r>
      <w:r w:rsidR="00985099">
        <w:rPr>
          <w:lang w:val="en-GB"/>
        </w:rPr>
        <w:t xml:space="preserve"> and corresponding instructions</w:t>
      </w:r>
      <w:r w:rsidRPr="00985099">
        <w:rPr>
          <w:lang w:val="en-GB"/>
        </w:rPr>
        <w:t xml:space="preserve">, </w:t>
      </w:r>
      <w:r w:rsidR="00E0405C">
        <w:rPr>
          <w:lang w:val="en-GB"/>
        </w:rPr>
        <w:t xml:space="preserve">as well as legislative amendments </w:t>
      </w:r>
      <w:r w:rsidRPr="00985099">
        <w:rPr>
          <w:lang w:val="en-GB"/>
        </w:rPr>
        <w:t>it is necessary to take into account the Resolution 2245 of October 2018</w:t>
      </w:r>
      <w:r w:rsidR="00985099">
        <w:rPr>
          <w:lang w:val="en-GB"/>
        </w:rPr>
        <w:t xml:space="preserve"> of the </w:t>
      </w:r>
      <w:r w:rsidR="00985099">
        <w:rPr>
          <w:lang w:val="en-GB"/>
        </w:rPr>
        <w:lastRenderedPageBreak/>
        <w:t>Parliamentary Assembly of the Council of Europe</w:t>
      </w:r>
      <w:r w:rsidRPr="00985099">
        <w:rPr>
          <w:lang w:val="en-GB"/>
        </w:rPr>
        <w:t xml:space="preserve">, which </w:t>
      </w:r>
      <w:r w:rsidR="00985099">
        <w:rPr>
          <w:lang w:val="en-GB"/>
        </w:rPr>
        <w:t xml:space="preserve">lays down minimum safeguards for the system of plea agreements </w:t>
      </w:r>
      <w:r w:rsidRPr="00985099">
        <w:rPr>
          <w:lang w:val="en-GB"/>
        </w:rPr>
        <w:t>in criminal proceedings</w:t>
      </w:r>
      <w:r w:rsidR="003F19F9">
        <w:rPr>
          <w:lang w:val="en-GB"/>
        </w:rPr>
        <w:t xml:space="preserve"> (see </w:t>
      </w:r>
      <w:r w:rsidR="005E3C87">
        <w:rPr>
          <w:lang w:val="en-GB"/>
        </w:rPr>
        <w:t xml:space="preserve">the </w:t>
      </w:r>
      <w:r w:rsidR="003F19F9">
        <w:rPr>
          <w:lang w:val="en-GB"/>
        </w:rPr>
        <w:t>Annex</w:t>
      </w:r>
      <w:r w:rsidR="005E3C87">
        <w:rPr>
          <w:lang w:val="en-GB"/>
        </w:rPr>
        <w:t xml:space="preserve"> attached</w:t>
      </w:r>
      <w:r w:rsidR="003F19F9">
        <w:rPr>
          <w:lang w:val="en-GB"/>
        </w:rPr>
        <w:t>)</w:t>
      </w:r>
      <w:r w:rsidRPr="00985099">
        <w:rPr>
          <w:lang w:val="en-GB"/>
        </w:rPr>
        <w:t>.</w:t>
      </w:r>
    </w:p>
    <w:p w14:paraId="048C4CB0" w14:textId="77777777" w:rsidR="00801626" w:rsidRPr="00801626" w:rsidRDefault="00801626" w:rsidP="00801626">
      <w:pPr>
        <w:pStyle w:val="ListParagraph"/>
        <w:jc w:val="both"/>
        <w:rPr>
          <w:lang w:val="en-GB"/>
        </w:rPr>
      </w:pPr>
    </w:p>
    <w:p w14:paraId="52FEB7BF" w14:textId="10DC0DEE" w:rsidR="00801626" w:rsidRDefault="00B37ACD" w:rsidP="00801626">
      <w:pPr>
        <w:pStyle w:val="ListParagraph"/>
        <w:numPr>
          <w:ilvl w:val="0"/>
          <w:numId w:val="1"/>
        </w:numPr>
        <w:jc w:val="both"/>
        <w:rPr>
          <w:lang w:val="en-GB"/>
        </w:rPr>
      </w:pPr>
      <w:r>
        <w:rPr>
          <w:lang w:val="en-GB"/>
        </w:rPr>
        <w:t>Systemic t</w:t>
      </w:r>
      <w:r w:rsidR="007503A1" w:rsidRPr="00B37ACD">
        <w:rPr>
          <w:lang w:val="en-GB"/>
        </w:rPr>
        <w:t>rain</w:t>
      </w:r>
      <w:r w:rsidR="00724705" w:rsidRPr="00B37ACD">
        <w:rPr>
          <w:lang w:val="en-GB"/>
        </w:rPr>
        <w:t>ing</w:t>
      </w:r>
      <w:r w:rsidR="007503A1" w:rsidRPr="00B37ACD">
        <w:rPr>
          <w:lang w:val="en-GB"/>
        </w:rPr>
        <w:t xml:space="preserve"> </w:t>
      </w:r>
      <w:r>
        <w:rPr>
          <w:lang w:val="en-GB"/>
        </w:rPr>
        <w:t xml:space="preserve">schemes including </w:t>
      </w:r>
      <w:r w:rsidR="007503A1" w:rsidRPr="00B37ACD">
        <w:rPr>
          <w:lang w:val="en-GB"/>
        </w:rPr>
        <w:t>judges</w:t>
      </w:r>
      <w:r w:rsidR="004D5AC1">
        <w:rPr>
          <w:lang w:val="en-GB"/>
        </w:rPr>
        <w:t xml:space="preserve">, </w:t>
      </w:r>
      <w:r w:rsidR="007503A1" w:rsidRPr="00B37ACD">
        <w:rPr>
          <w:lang w:val="en-GB"/>
        </w:rPr>
        <w:t xml:space="preserve">prosecutors </w:t>
      </w:r>
      <w:r w:rsidR="004D5AC1">
        <w:rPr>
          <w:lang w:val="en-GB"/>
        </w:rPr>
        <w:t xml:space="preserve">and defence counsels </w:t>
      </w:r>
      <w:r w:rsidR="00724705" w:rsidRPr="00B37ACD">
        <w:rPr>
          <w:lang w:val="en-GB"/>
        </w:rPr>
        <w:t xml:space="preserve">on how to use </w:t>
      </w:r>
      <w:r w:rsidR="007503A1" w:rsidRPr="00B37ACD">
        <w:rPr>
          <w:lang w:val="en-GB"/>
        </w:rPr>
        <w:t>plea agreement</w:t>
      </w:r>
      <w:r w:rsidR="00724705" w:rsidRPr="00B37ACD">
        <w:rPr>
          <w:lang w:val="en-GB"/>
        </w:rPr>
        <w:t>s</w:t>
      </w:r>
      <w:r w:rsidR="007503A1" w:rsidRPr="00B37ACD">
        <w:rPr>
          <w:lang w:val="en-GB"/>
        </w:rPr>
        <w:t xml:space="preserve"> throughout the proceedings</w:t>
      </w:r>
      <w:r w:rsidR="004D5AC1">
        <w:rPr>
          <w:lang w:val="en-GB"/>
        </w:rPr>
        <w:t xml:space="preserve"> in accordance with the above improvements need to be provided by the Centres for Education of Judges and Prosecutors (CESTs). In this regard, the CESTs are invited to cooperate with the ongoing EU -led projects on the matter</w:t>
      </w:r>
      <w:r w:rsidR="00724705" w:rsidRPr="00B37ACD">
        <w:rPr>
          <w:lang w:val="en-GB"/>
        </w:rPr>
        <w:t>.</w:t>
      </w:r>
    </w:p>
    <w:p w14:paraId="650F1A62" w14:textId="77777777" w:rsidR="00801626" w:rsidRDefault="00801626" w:rsidP="00801626">
      <w:pPr>
        <w:pStyle w:val="ListParagraph"/>
        <w:jc w:val="both"/>
        <w:rPr>
          <w:lang w:val="en-GB"/>
        </w:rPr>
      </w:pPr>
    </w:p>
    <w:p w14:paraId="609BC698" w14:textId="2E000CFB" w:rsidR="004D5AC1" w:rsidRPr="00801626" w:rsidRDefault="004D5AC1" w:rsidP="00801626">
      <w:pPr>
        <w:pStyle w:val="ListParagraph"/>
        <w:numPr>
          <w:ilvl w:val="0"/>
          <w:numId w:val="1"/>
        </w:numPr>
        <w:jc w:val="both"/>
        <w:rPr>
          <w:lang w:val="en-GB"/>
        </w:rPr>
      </w:pPr>
      <w:r w:rsidRPr="00801626">
        <w:rPr>
          <w:lang w:val="en-GB"/>
        </w:rPr>
        <w:t xml:space="preserve">An enhanced process of regular monitoring and control of application of the </w:t>
      </w:r>
      <w:proofErr w:type="gramStart"/>
      <w:r w:rsidRPr="00801626">
        <w:rPr>
          <w:lang w:val="en-GB"/>
        </w:rPr>
        <w:t>plea bargaining</w:t>
      </w:r>
      <w:proofErr w:type="gramEnd"/>
      <w:r w:rsidRPr="00801626">
        <w:rPr>
          <w:lang w:val="en-GB"/>
        </w:rPr>
        <w:t xml:space="preserve"> agreements </w:t>
      </w:r>
      <w:r w:rsidR="0005747A" w:rsidRPr="00801626">
        <w:rPr>
          <w:lang w:val="en-GB"/>
        </w:rPr>
        <w:t xml:space="preserve">by courts and prosecutor’s offices </w:t>
      </w:r>
      <w:r w:rsidRPr="00801626">
        <w:rPr>
          <w:lang w:val="en-GB"/>
        </w:rPr>
        <w:t xml:space="preserve">should be </w:t>
      </w:r>
      <w:r w:rsidR="0005747A" w:rsidRPr="00801626">
        <w:rPr>
          <w:lang w:val="en-GB"/>
        </w:rPr>
        <w:t xml:space="preserve">developed </w:t>
      </w:r>
      <w:r w:rsidRPr="00801626">
        <w:rPr>
          <w:lang w:val="en-GB"/>
        </w:rPr>
        <w:t xml:space="preserve">by the </w:t>
      </w:r>
      <w:r w:rsidR="0005747A" w:rsidRPr="00801626">
        <w:rPr>
          <w:lang w:val="en-GB"/>
        </w:rPr>
        <w:t xml:space="preserve">respective </w:t>
      </w:r>
      <w:r w:rsidRPr="00801626">
        <w:rPr>
          <w:lang w:val="en-GB"/>
        </w:rPr>
        <w:t>Standing Committees for Efficiency of Courts and Prosecutor’s Offices within the HJPC</w:t>
      </w:r>
      <w:r w:rsidR="0005747A" w:rsidRPr="00801626">
        <w:rPr>
          <w:lang w:val="en-GB"/>
        </w:rPr>
        <w:t xml:space="preserve">. This monitoring system shall also comply with the </w:t>
      </w:r>
      <w:proofErr w:type="gramStart"/>
      <w:r w:rsidR="0005747A" w:rsidRPr="00801626">
        <w:rPr>
          <w:lang w:val="en-GB"/>
        </w:rPr>
        <w:t>above mentioned</w:t>
      </w:r>
      <w:proofErr w:type="gramEnd"/>
      <w:r w:rsidR="0005747A" w:rsidRPr="00801626">
        <w:rPr>
          <w:lang w:val="en-GB"/>
        </w:rPr>
        <w:t xml:space="preserve"> improved guidelines/instructions and PACE Resolution (items 8.8 and 8.10).  </w:t>
      </w:r>
    </w:p>
    <w:p w14:paraId="3DCAE3C7" w14:textId="77777777" w:rsidR="00D24D8F" w:rsidRPr="00724705" w:rsidRDefault="00D24D8F" w:rsidP="00D24D8F">
      <w:pPr>
        <w:rPr>
          <w:lang w:val="en-GB"/>
        </w:rPr>
      </w:pPr>
    </w:p>
    <w:p w14:paraId="2B910F5A" w14:textId="77777777" w:rsidR="00D24D8F" w:rsidRPr="00724705" w:rsidRDefault="00D24D8F" w:rsidP="00D24D8F">
      <w:pPr>
        <w:rPr>
          <w:lang w:val="en-GB"/>
        </w:rPr>
      </w:pPr>
    </w:p>
    <w:p w14:paraId="7706C32A" w14:textId="77777777" w:rsidR="00D24D8F" w:rsidRDefault="00D24D8F" w:rsidP="00D24D8F">
      <w:pPr>
        <w:rPr>
          <w:lang w:val="bs-Latn-BA"/>
        </w:rPr>
      </w:pPr>
    </w:p>
    <w:p w14:paraId="597A096F" w14:textId="77777777" w:rsidR="009B47A9" w:rsidRPr="007503A1" w:rsidRDefault="00933B0D">
      <w:pPr>
        <w:rPr>
          <w:lang w:val="bs-Latn-BA"/>
        </w:rPr>
      </w:pPr>
    </w:p>
    <w:sectPr w:rsidR="009B47A9" w:rsidRPr="007503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200209"/>
    <w:multiLevelType w:val="hybridMultilevel"/>
    <w:tmpl w:val="64D0E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D24D8F"/>
    <w:rsid w:val="0005747A"/>
    <w:rsid w:val="0008682F"/>
    <w:rsid w:val="00093F33"/>
    <w:rsid w:val="00113C7F"/>
    <w:rsid w:val="0028149E"/>
    <w:rsid w:val="002951AE"/>
    <w:rsid w:val="002A07B8"/>
    <w:rsid w:val="00321E0D"/>
    <w:rsid w:val="00323842"/>
    <w:rsid w:val="003F19F9"/>
    <w:rsid w:val="0047493A"/>
    <w:rsid w:val="004C4577"/>
    <w:rsid w:val="004D5AC1"/>
    <w:rsid w:val="0056055F"/>
    <w:rsid w:val="005E3C87"/>
    <w:rsid w:val="00707E09"/>
    <w:rsid w:val="00724705"/>
    <w:rsid w:val="007503A1"/>
    <w:rsid w:val="00801626"/>
    <w:rsid w:val="00933B0D"/>
    <w:rsid w:val="00985099"/>
    <w:rsid w:val="00A00EEA"/>
    <w:rsid w:val="00A26E05"/>
    <w:rsid w:val="00B0417A"/>
    <w:rsid w:val="00B37ACD"/>
    <w:rsid w:val="00B51D36"/>
    <w:rsid w:val="00B7726C"/>
    <w:rsid w:val="00B92B97"/>
    <w:rsid w:val="00D24D8F"/>
    <w:rsid w:val="00D70E1E"/>
    <w:rsid w:val="00E0405C"/>
    <w:rsid w:val="00F81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971E9"/>
  <w15:docId w15:val="{6E634646-585F-4B4A-A1F6-D0A24583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D8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E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171208">
      <w:bodyDiv w:val="1"/>
      <w:marLeft w:val="0"/>
      <w:marRight w:val="0"/>
      <w:marTop w:val="0"/>
      <w:marBottom w:val="0"/>
      <w:divBdr>
        <w:top w:val="none" w:sz="0" w:space="0" w:color="auto"/>
        <w:left w:val="none" w:sz="0" w:space="0" w:color="auto"/>
        <w:bottom w:val="none" w:sz="0" w:space="0" w:color="auto"/>
        <w:right w:val="none" w:sz="0" w:space="0" w:color="auto"/>
      </w:divBdr>
      <w:divsChild>
        <w:div w:id="495848626">
          <w:marLeft w:val="0"/>
          <w:marRight w:val="0"/>
          <w:marTop w:val="0"/>
          <w:marBottom w:val="0"/>
          <w:divBdr>
            <w:top w:val="none" w:sz="0" w:space="0" w:color="auto"/>
            <w:left w:val="none" w:sz="0" w:space="0" w:color="auto"/>
            <w:bottom w:val="none" w:sz="0" w:space="0" w:color="auto"/>
            <w:right w:val="none" w:sz="0" w:space="0" w:color="auto"/>
          </w:divBdr>
          <w:divsChild>
            <w:div w:id="1362121534">
              <w:marLeft w:val="0"/>
              <w:marRight w:val="0"/>
              <w:marTop w:val="0"/>
              <w:marBottom w:val="0"/>
              <w:divBdr>
                <w:top w:val="none" w:sz="0" w:space="0" w:color="auto"/>
                <w:left w:val="none" w:sz="0" w:space="0" w:color="auto"/>
                <w:bottom w:val="none" w:sz="0" w:space="0" w:color="auto"/>
                <w:right w:val="none" w:sz="0" w:space="0" w:color="auto"/>
              </w:divBdr>
              <w:divsChild>
                <w:div w:id="71901178">
                  <w:marLeft w:val="0"/>
                  <w:marRight w:val="0"/>
                  <w:marTop w:val="0"/>
                  <w:marBottom w:val="0"/>
                  <w:divBdr>
                    <w:top w:val="none" w:sz="0" w:space="0" w:color="auto"/>
                    <w:left w:val="none" w:sz="0" w:space="0" w:color="auto"/>
                    <w:bottom w:val="none" w:sz="0" w:space="0" w:color="auto"/>
                    <w:right w:val="none" w:sz="0" w:space="0" w:color="auto"/>
                  </w:divBdr>
                  <w:divsChild>
                    <w:div w:id="174421898">
                      <w:marLeft w:val="0"/>
                      <w:marRight w:val="0"/>
                      <w:marTop w:val="0"/>
                      <w:marBottom w:val="0"/>
                      <w:divBdr>
                        <w:top w:val="none" w:sz="0" w:space="0" w:color="auto"/>
                        <w:left w:val="none" w:sz="0" w:space="0" w:color="auto"/>
                        <w:bottom w:val="none" w:sz="0" w:space="0" w:color="auto"/>
                        <w:right w:val="none" w:sz="0" w:space="0" w:color="auto"/>
                      </w:divBdr>
                      <w:divsChild>
                        <w:div w:id="301886312">
                          <w:marLeft w:val="0"/>
                          <w:marRight w:val="0"/>
                          <w:marTop w:val="0"/>
                          <w:marBottom w:val="0"/>
                          <w:divBdr>
                            <w:top w:val="none" w:sz="0" w:space="0" w:color="auto"/>
                            <w:left w:val="none" w:sz="0" w:space="0" w:color="auto"/>
                            <w:bottom w:val="none" w:sz="0" w:space="0" w:color="auto"/>
                            <w:right w:val="none" w:sz="0" w:space="0" w:color="auto"/>
                          </w:divBdr>
                          <w:divsChild>
                            <w:div w:id="2004775154">
                              <w:marLeft w:val="0"/>
                              <w:marRight w:val="0"/>
                              <w:marTop w:val="0"/>
                              <w:marBottom w:val="0"/>
                              <w:divBdr>
                                <w:top w:val="none" w:sz="0" w:space="0" w:color="auto"/>
                                <w:left w:val="none" w:sz="0" w:space="0" w:color="auto"/>
                                <w:bottom w:val="none" w:sz="0" w:space="0" w:color="auto"/>
                                <w:right w:val="none" w:sz="0" w:space="0" w:color="auto"/>
                              </w:divBdr>
                              <w:divsChild>
                                <w:div w:id="959528390">
                                  <w:marLeft w:val="0"/>
                                  <w:marRight w:val="0"/>
                                  <w:marTop w:val="0"/>
                                  <w:marBottom w:val="0"/>
                                  <w:divBdr>
                                    <w:top w:val="none" w:sz="0" w:space="0" w:color="auto"/>
                                    <w:left w:val="none" w:sz="0" w:space="0" w:color="auto"/>
                                    <w:bottom w:val="none" w:sz="0" w:space="0" w:color="auto"/>
                                    <w:right w:val="none" w:sz="0" w:space="0" w:color="auto"/>
                                  </w:divBdr>
                                  <w:divsChild>
                                    <w:div w:id="1449160033">
                                      <w:marLeft w:val="0"/>
                                      <w:marRight w:val="0"/>
                                      <w:marTop w:val="0"/>
                                      <w:marBottom w:val="0"/>
                                      <w:divBdr>
                                        <w:top w:val="none" w:sz="0" w:space="0" w:color="auto"/>
                                        <w:left w:val="none" w:sz="0" w:space="0" w:color="auto"/>
                                        <w:bottom w:val="none" w:sz="0" w:space="0" w:color="auto"/>
                                        <w:right w:val="none" w:sz="0" w:space="0" w:color="auto"/>
                                      </w:divBdr>
                                      <w:divsChild>
                                        <w:div w:id="1180000465">
                                          <w:marLeft w:val="0"/>
                                          <w:marRight w:val="0"/>
                                          <w:marTop w:val="0"/>
                                          <w:marBottom w:val="495"/>
                                          <w:divBdr>
                                            <w:top w:val="none" w:sz="0" w:space="0" w:color="auto"/>
                                            <w:left w:val="none" w:sz="0" w:space="0" w:color="auto"/>
                                            <w:bottom w:val="none" w:sz="0" w:space="0" w:color="auto"/>
                                            <w:right w:val="none" w:sz="0" w:space="0" w:color="auto"/>
                                          </w:divBdr>
                                          <w:divsChild>
                                            <w:div w:id="198268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2723861">
      <w:bodyDiv w:val="1"/>
      <w:marLeft w:val="0"/>
      <w:marRight w:val="0"/>
      <w:marTop w:val="0"/>
      <w:marBottom w:val="0"/>
      <w:divBdr>
        <w:top w:val="none" w:sz="0" w:space="0" w:color="auto"/>
        <w:left w:val="none" w:sz="0" w:space="0" w:color="auto"/>
        <w:bottom w:val="none" w:sz="0" w:space="0" w:color="auto"/>
        <w:right w:val="none" w:sz="0" w:space="0" w:color="auto"/>
      </w:divBdr>
    </w:div>
    <w:div w:id="1017268222">
      <w:bodyDiv w:val="1"/>
      <w:marLeft w:val="0"/>
      <w:marRight w:val="0"/>
      <w:marTop w:val="0"/>
      <w:marBottom w:val="0"/>
      <w:divBdr>
        <w:top w:val="none" w:sz="0" w:space="0" w:color="auto"/>
        <w:left w:val="none" w:sz="0" w:space="0" w:color="auto"/>
        <w:bottom w:val="none" w:sz="0" w:space="0" w:color="auto"/>
        <w:right w:val="none" w:sz="0" w:space="0" w:color="auto"/>
      </w:divBdr>
      <w:divsChild>
        <w:div w:id="1619482241">
          <w:marLeft w:val="0"/>
          <w:marRight w:val="0"/>
          <w:marTop w:val="0"/>
          <w:marBottom w:val="0"/>
          <w:divBdr>
            <w:top w:val="none" w:sz="0" w:space="0" w:color="auto"/>
            <w:left w:val="none" w:sz="0" w:space="0" w:color="auto"/>
            <w:bottom w:val="none" w:sz="0" w:space="0" w:color="auto"/>
            <w:right w:val="none" w:sz="0" w:space="0" w:color="auto"/>
          </w:divBdr>
          <w:divsChild>
            <w:div w:id="402993058">
              <w:marLeft w:val="0"/>
              <w:marRight w:val="0"/>
              <w:marTop w:val="0"/>
              <w:marBottom w:val="0"/>
              <w:divBdr>
                <w:top w:val="none" w:sz="0" w:space="0" w:color="auto"/>
                <w:left w:val="none" w:sz="0" w:space="0" w:color="auto"/>
                <w:bottom w:val="none" w:sz="0" w:space="0" w:color="auto"/>
                <w:right w:val="none" w:sz="0" w:space="0" w:color="auto"/>
              </w:divBdr>
              <w:divsChild>
                <w:div w:id="156500335">
                  <w:marLeft w:val="0"/>
                  <w:marRight w:val="0"/>
                  <w:marTop w:val="0"/>
                  <w:marBottom w:val="0"/>
                  <w:divBdr>
                    <w:top w:val="none" w:sz="0" w:space="0" w:color="auto"/>
                    <w:left w:val="none" w:sz="0" w:space="0" w:color="auto"/>
                    <w:bottom w:val="none" w:sz="0" w:space="0" w:color="auto"/>
                    <w:right w:val="none" w:sz="0" w:space="0" w:color="auto"/>
                  </w:divBdr>
                  <w:divsChild>
                    <w:div w:id="1596597511">
                      <w:marLeft w:val="0"/>
                      <w:marRight w:val="0"/>
                      <w:marTop w:val="0"/>
                      <w:marBottom w:val="0"/>
                      <w:divBdr>
                        <w:top w:val="none" w:sz="0" w:space="0" w:color="auto"/>
                        <w:left w:val="none" w:sz="0" w:space="0" w:color="auto"/>
                        <w:bottom w:val="none" w:sz="0" w:space="0" w:color="auto"/>
                        <w:right w:val="none" w:sz="0" w:space="0" w:color="auto"/>
                      </w:divBdr>
                      <w:divsChild>
                        <w:div w:id="408817297">
                          <w:marLeft w:val="0"/>
                          <w:marRight w:val="0"/>
                          <w:marTop w:val="0"/>
                          <w:marBottom w:val="0"/>
                          <w:divBdr>
                            <w:top w:val="none" w:sz="0" w:space="0" w:color="auto"/>
                            <w:left w:val="none" w:sz="0" w:space="0" w:color="auto"/>
                            <w:bottom w:val="none" w:sz="0" w:space="0" w:color="auto"/>
                            <w:right w:val="none" w:sz="0" w:space="0" w:color="auto"/>
                          </w:divBdr>
                          <w:divsChild>
                            <w:div w:id="1535774288">
                              <w:marLeft w:val="0"/>
                              <w:marRight w:val="0"/>
                              <w:marTop w:val="0"/>
                              <w:marBottom w:val="0"/>
                              <w:divBdr>
                                <w:top w:val="none" w:sz="0" w:space="0" w:color="auto"/>
                                <w:left w:val="none" w:sz="0" w:space="0" w:color="auto"/>
                                <w:bottom w:val="none" w:sz="0" w:space="0" w:color="auto"/>
                                <w:right w:val="none" w:sz="0" w:space="0" w:color="auto"/>
                              </w:divBdr>
                              <w:divsChild>
                                <w:div w:id="1074209003">
                                  <w:marLeft w:val="0"/>
                                  <w:marRight w:val="0"/>
                                  <w:marTop w:val="0"/>
                                  <w:marBottom w:val="0"/>
                                  <w:divBdr>
                                    <w:top w:val="none" w:sz="0" w:space="0" w:color="auto"/>
                                    <w:left w:val="none" w:sz="0" w:space="0" w:color="auto"/>
                                    <w:bottom w:val="none" w:sz="0" w:space="0" w:color="auto"/>
                                    <w:right w:val="none" w:sz="0" w:space="0" w:color="auto"/>
                                  </w:divBdr>
                                  <w:divsChild>
                                    <w:div w:id="1307122411">
                                      <w:marLeft w:val="0"/>
                                      <w:marRight w:val="0"/>
                                      <w:marTop w:val="0"/>
                                      <w:marBottom w:val="0"/>
                                      <w:divBdr>
                                        <w:top w:val="none" w:sz="0" w:space="0" w:color="auto"/>
                                        <w:left w:val="none" w:sz="0" w:space="0" w:color="auto"/>
                                        <w:bottom w:val="none" w:sz="0" w:space="0" w:color="auto"/>
                                        <w:right w:val="none" w:sz="0" w:space="0" w:color="auto"/>
                                      </w:divBdr>
                                      <w:divsChild>
                                        <w:div w:id="1391149189">
                                          <w:marLeft w:val="0"/>
                                          <w:marRight w:val="0"/>
                                          <w:marTop w:val="0"/>
                                          <w:marBottom w:val="495"/>
                                          <w:divBdr>
                                            <w:top w:val="none" w:sz="0" w:space="0" w:color="auto"/>
                                            <w:left w:val="none" w:sz="0" w:space="0" w:color="auto"/>
                                            <w:bottom w:val="none" w:sz="0" w:space="0" w:color="auto"/>
                                            <w:right w:val="none" w:sz="0" w:space="0" w:color="auto"/>
                                          </w:divBdr>
                                          <w:divsChild>
                                            <w:div w:id="142692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7677665">
      <w:bodyDiv w:val="1"/>
      <w:marLeft w:val="0"/>
      <w:marRight w:val="0"/>
      <w:marTop w:val="0"/>
      <w:marBottom w:val="0"/>
      <w:divBdr>
        <w:top w:val="none" w:sz="0" w:space="0" w:color="auto"/>
        <w:left w:val="none" w:sz="0" w:space="0" w:color="auto"/>
        <w:bottom w:val="none" w:sz="0" w:space="0" w:color="auto"/>
        <w:right w:val="none" w:sz="0" w:space="0" w:color="auto"/>
      </w:divBdr>
      <w:divsChild>
        <w:div w:id="1563756980">
          <w:marLeft w:val="0"/>
          <w:marRight w:val="0"/>
          <w:marTop w:val="0"/>
          <w:marBottom w:val="0"/>
          <w:divBdr>
            <w:top w:val="none" w:sz="0" w:space="0" w:color="auto"/>
            <w:left w:val="none" w:sz="0" w:space="0" w:color="auto"/>
            <w:bottom w:val="none" w:sz="0" w:space="0" w:color="auto"/>
            <w:right w:val="none" w:sz="0" w:space="0" w:color="auto"/>
          </w:divBdr>
          <w:divsChild>
            <w:div w:id="17317354">
              <w:marLeft w:val="0"/>
              <w:marRight w:val="0"/>
              <w:marTop w:val="0"/>
              <w:marBottom w:val="0"/>
              <w:divBdr>
                <w:top w:val="none" w:sz="0" w:space="0" w:color="auto"/>
                <w:left w:val="none" w:sz="0" w:space="0" w:color="auto"/>
                <w:bottom w:val="none" w:sz="0" w:space="0" w:color="auto"/>
                <w:right w:val="none" w:sz="0" w:space="0" w:color="auto"/>
              </w:divBdr>
              <w:divsChild>
                <w:div w:id="1290280432">
                  <w:marLeft w:val="0"/>
                  <w:marRight w:val="0"/>
                  <w:marTop w:val="0"/>
                  <w:marBottom w:val="0"/>
                  <w:divBdr>
                    <w:top w:val="none" w:sz="0" w:space="0" w:color="auto"/>
                    <w:left w:val="none" w:sz="0" w:space="0" w:color="auto"/>
                    <w:bottom w:val="none" w:sz="0" w:space="0" w:color="auto"/>
                    <w:right w:val="none" w:sz="0" w:space="0" w:color="auto"/>
                  </w:divBdr>
                  <w:divsChild>
                    <w:div w:id="1020199324">
                      <w:marLeft w:val="0"/>
                      <w:marRight w:val="0"/>
                      <w:marTop w:val="0"/>
                      <w:marBottom w:val="0"/>
                      <w:divBdr>
                        <w:top w:val="none" w:sz="0" w:space="0" w:color="auto"/>
                        <w:left w:val="none" w:sz="0" w:space="0" w:color="auto"/>
                        <w:bottom w:val="none" w:sz="0" w:space="0" w:color="auto"/>
                        <w:right w:val="none" w:sz="0" w:space="0" w:color="auto"/>
                      </w:divBdr>
                      <w:divsChild>
                        <w:div w:id="1393575585">
                          <w:marLeft w:val="0"/>
                          <w:marRight w:val="0"/>
                          <w:marTop w:val="0"/>
                          <w:marBottom w:val="0"/>
                          <w:divBdr>
                            <w:top w:val="none" w:sz="0" w:space="0" w:color="auto"/>
                            <w:left w:val="none" w:sz="0" w:space="0" w:color="auto"/>
                            <w:bottom w:val="none" w:sz="0" w:space="0" w:color="auto"/>
                            <w:right w:val="none" w:sz="0" w:space="0" w:color="auto"/>
                          </w:divBdr>
                          <w:divsChild>
                            <w:div w:id="156073641">
                              <w:marLeft w:val="0"/>
                              <w:marRight w:val="0"/>
                              <w:marTop w:val="0"/>
                              <w:marBottom w:val="0"/>
                              <w:divBdr>
                                <w:top w:val="none" w:sz="0" w:space="0" w:color="auto"/>
                                <w:left w:val="none" w:sz="0" w:space="0" w:color="auto"/>
                                <w:bottom w:val="none" w:sz="0" w:space="0" w:color="auto"/>
                                <w:right w:val="none" w:sz="0" w:space="0" w:color="auto"/>
                              </w:divBdr>
                              <w:divsChild>
                                <w:div w:id="1443913344">
                                  <w:marLeft w:val="0"/>
                                  <w:marRight w:val="0"/>
                                  <w:marTop w:val="0"/>
                                  <w:marBottom w:val="0"/>
                                  <w:divBdr>
                                    <w:top w:val="none" w:sz="0" w:space="0" w:color="auto"/>
                                    <w:left w:val="none" w:sz="0" w:space="0" w:color="auto"/>
                                    <w:bottom w:val="none" w:sz="0" w:space="0" w:color="auto"/>
                                    <w:right w:val="none" w:sz="0" w:space="0" w:color="auto"/>
                                  </w:divBdr>
                                  <w:divsChild>
                                    <w:div w:id="2011562390">
                                      <w:marLeft w:val="0"/>
                                      <w:marRight w:val="0"/>
                                      <w:marTop w:val="0"/>
                                      <w:marBottom w:val="0"/>
                                      <w:divBdr>
                                        <w:top w:val="none" w:sz="0" w:space="0" w:color="auto"/>
                                        <w:left w:val="none" w:sz="0" w:space="0" w:color="auto"/>
                                        <w:bottom w:val="none" w:sz="0" w:space="0" w:color="auto"/>
                                        <w:right w:val="none" w:sz="0" w:space="0" w:color="auto"/>
                                      </w:divBdr>
                                      <w:divsChild>
                                        <w:div w:id="1597399527">
                                          <w:marLeft w:val="0"/>
                                          <w:marRight w:val="0"/>
                                          <w:marTop w:val="0"/>
                                          <w:marBottom w:val="495"/>
                                          <w:divBdr>
                                            <w:top w:val="none" w:sz="0" w:space="0" w:color="auto"/>
                                            <w:left w:val="none" w:sz="0" w:space="0" w:color="auto"/>
                                            <w:bottom w:val="none" w:sz="0" w:space="0" w:color="auto"/>
                                            <w:right w:val="none" w:sz="0" w:space="0" w:color="auto"/>
                                          </w:divBdr>
                                          <w:divsChild>
                                            <w:div w:id="16038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4788857">
      <w:bodyDiv w:val="1"/>
      <w:marLeft w:val="0"/>
      <w:marRight w:val="0"/>
      <w:marTop w:val="0"/>
      <w:marBottom w:val="0"/>
      <w:divBdr>
        <w:top w:val="none" w:sz="0" w:space="0" w:color="auto"/>
        <w:left w:val="none" w:sz="0" w:space="0" w:color="auto"/>
        <w:bottom w:val="none" w:sz="0" w:space="0" w:color="auto"/>
        <w:right w:val="none" w:sz="0" w:space="0" w:color="auto"/>
      </w:divBdr>
      <w:divsChild>
        <w:div w:id="279994867">
          <w:marLeft w:val="0"/>
          <w:marRight w:val="0"/>
          <w:marTop w:val="0"/>
          <w:marBottom w:val="0"/>
          <w:divBdr>
            <w:top w:val="none" w:sz="0" w:space="0" w:color="auto"/>
            <w:left w:val="none" w:sz="0" w:space="0" w:color="auto"/>
            <w:bottom w:val="none" w:sz="0" w:space="0" w:color="auto"/>
            <w:right w:val="none" w:sz="0" w:space="0" w:color="auto"/>
          </w:divBdr>
          <w:divsChild>
            <w:div w:id="2084714704">
              <w:marLeft w:val="0"/>
              <w:marRight w:val="0"/>
              <w:marTop w:val="0"/>
              <w:marBottom w:val="0"/>
              <w:divBdr>
                <w:top w:val="none" w:sz="0" w:space="0" w:color="auto"/>
                <w:left w:val="none" w:sz="0" w:space="0" w:color="auto"/>
                <w:bottom w:val="none" w:sz="0" w:space="0" w:color="auto"/>
                <w:right w:val="none" w:sz="0" w:space="0" w:color="auto"/>
              </w:divBdr>
              <w:divsChild>
                <w:div w:id="577860085">
                  <w:marLeft w:val="0"/>
                  <w:marRight w:val="0"/>
                  <w:marTop w:val="0"/>
                  <w:marBottom w:val="0"/>
                  <w:divBdr>
                    <w:top w:val="none" w:sz="0" w:space="0" w:color="auto"/>
                    <w:left w:val="none" w:sz="0" w:space="0" w:color="auto"/>
                    <w:bottom w:val="none" w:sz="0" w:space="0" w:color="auto"/>
                    <w:right w:val="none" w:sz="0" w:space="0" w:color="auto"/>
                  </w:divBdr>
                  <w:divsChild>
                    <w:div w:id="1731079789">
                      <w:marLeft w:val="0"/>
                      <w:marRight w:val="0"/>
                      <w:marTop w:val="0"/>
                      <w:marBottom w:val="0"/>
                      <w:divBdr>
                        <w:top w:val="none" w:sz="0" w:space="0" w:color="auto"/>
                        <w:left w:val="none" w:sz="0" w:space="0" w:color="auto"/>
                        <w:bottom w:val="none" w:sz="0" w:space="0" w:color="auto"/>
                        <w:right w:val="none" w:sz="0" w:space="0" w:color="auto"/>
                      </w:divBdr>
                      <w:divsChild>
                        <w:div w:id="1401052756">
                          <w:marLeft w:val="0"/>
                          <w:marRight w:val="0"/>
                          <w:marTop w:val="0"/>
                          <w:marBottom w:val="0"/>
                          <w:divBdr>
                            <w:top w:val="none" w:sz="0" w:space="0" w:color="auto"/>
                            <w:left w:val="none" w:sz="0" w:space="0" w:color="auto"/>
                            <w:bottom w:val="none" w:sz="0" w:space="0" w:color="auto"/>
                            <w:right w:val="none" w:sz="0" w:space="0" w:color="auto"/>
                          </w:divBdr>
                          <w:divsChild>
                            <w:div w:id="1921937762">
                              <w:marLeft w:val="0"/>
                              <w:marRight w:val="0"/>
                              <w:marTop w:val="0"/>
                              <w:marBottom w:val="0"/>
                              <w:divBdr>
                                <w:top w:val="none" w:sz="0" w:space="0" w:color="auto"/>
                                <w:left w:val="none" w:sz="0" w:space="0" w:color="auto"/>
                                <w:bottom w:val="none" w:sz="0" w:space="0" w:color="auto"/>
                                <w:right w:val="none" w:sz="0" w:space="0" w:color="auto"/>
                              </w:divBdr>
                              <w:divsChild>
                                <w:div w:id="567111561">
                                  <w:marLeft w:val="0"/>
                                  <w:marRight w:val="0"/>
                                  <w:marTop w:val="0"/>
                                  <w:marBottom w:val="0"/>
                                  <w:divBdr>
                                    <w:top w:val="none" w:sz="0" w:space="0" w:color="auto"/>
                                    <w:left w:val="none" w:sz="0" w:space="0" w:color="auto"/>
                                    <w:bottom w:val="none" w:sz="0" w:space="0" w:color="auto"/>
                                    <w:right w:val="none" w:sz="0" w:space="0" w:color="auto"/>
                                  </w:divBdr>
                                  <w:divsChild>
                                    <w:div w:id="275791627">
                                      <w:marLeft w:val="0"/>
                                      <w:marRight w:val="0"/>
                                      <w:marTop w:val="0"/>
                                      <w:marBottom w:val="0"/>
                                      <w:divBdr>
                                        <w:top w:val="none" w:sz="0" w:space="0" w:color="auto"/>
                                        <w:left w:val="none" w:sz="0" w:space="0" w:color="auto"/>
                                        <w:bottom w:val="none" w:sz="0" w:space="0" w:color="auto"/>
                                        <w:right w:val="none" w:sz="0" w:space="0" w:color="auto"/>
                                      </w:divBdr>
                                      <w:divsChild>
                                        <w:div w:id="1803881340">
                                          <w:marLeft w:val="0"/>
                                          <w:marRight w:val="0"/>
                                          <w:marTop w:val="0"/>
                                          <w:marBottom w:val="495"/>
                                          <w:divBdr>
                                            <w:top w:val="none" w:sz="0" w:space="0" w:color="auto"/>
                                            <w:left w:val="none" w:sz="0" w:space="0" w:color="auto"/>
                                            <w:bottom w:val="none" w:sz="0" w:space="0" w:color="auto"/>
                                            <w:right w:val="none" w:sz="0" w:space="0" w:color="auto"/>
                                          </w:divBdr>
                                          <w:divsChild>
                                            <w:div w:id="71107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25651">
      <w:bodyDiv w:val="1"/>
      <w:marLeft w:val="0"/>
      <w:marRight w:val="0"/>
      <w:marTop w:val="0"/>
      <w:marBottom w:val="0"/>
      <w:divBdr>
        <w:top w:val="none" w:sz="0" w:space="0" w:color="auto"/>
        <w:left w:val="none" w:sz="0" w:space="0" w:color="auto"/>
        <w:bottom w:val="none" w:sz="0" w:space="0" w:color="auto"/>
        <w:right w:val="none" w:sz="0" w:space="0" w:color="auto"/>
      </w:divBdr>
      <w:divsChild>
        <w:div w:id="1787432200">
          <w:marLeft w:val="0"/>
          <w:marRight w:val="0"/>
          <w:marTop w:val="0"/>
          <w:marBottom w:val="0"/>
          <w:divBdr>
            <w:top w:val="none" w:sz="0" w:space="0" w:color="auto"/>
            <w:left w:val="none" w:sz="0" w:space="0" w:color="auto"/>
            <w:bottom w:val="none" w:sz="0" w:space="0" w:color="auto"/>
            <w:right w:val="none" w:sz="0" w:space="0" w:color="auto"/>
          </w:divBdr>
          <w:divsChild>
            <w:div w:id="1964649318">
              <w:marLeft w:val="0"/>
              <w:marRight w:val="0"/>
              <w:marTop w:val="0"/>
              <w:marBottom w:val="0"/>
              <w:divBdr>
                <w:top w:val="none" w:sz="0" w:space="0" w:color="auto"/>
                <w:left w:val="none" w:sz="0" w:space="0" w:color="auto"/>
                <w:bottom w:val="none" w:sz="0" w:space="0" w:color="auto"/>
                <w:right w:val="none" w:sz="0" w:space="0" w:color="auto"/>
              </w:divBdr>
              <w:divsChild>
                <w:div w:id="1438213494">
                  <w:marLeft w:val="0"/>
                  <w:marRight w:val="0"/>
                  <w:marTop w:val="0"/>
                  <w:marBottom w:val="0"/>
                  <w:divBdr>
                    <w:top w:val="none" w:sz="0" w:space="0" w:color="auto"/>
                    <w:left w:val="none" w:sz="0" w:space="0" w:color="auto"/>
                    <w:bottom w:val="none" w:sz="0" w:space="0" w:color="auto"/>
                    <w:right w:val="none" w:sz="0" w:space="0" w:color="auto"/>
                  </w:divBdr>
                  <w:divsChild>
                    <w:div w:id="189759132">
                      <w:marLeft w:val="0"/>
                      <w:marRight w:val="0"/>
                      <w:marTop w:val="0"/>
                      <w:marBottom w:val="0"/>
                      <w:divBdr>
                        <w:top w:val="none" w:sz="0" w:space="0" w:color="auto"/>
                        <w:left w:val="none" w:sz="0" w:space="0" w:color="auto"/>
                        <w:bottom w:val="none" w:sz="0" w:space="0" w:color="auto"/>
                        <w:right w:val="none" w:sz="0" w:space="0" w:color="auto"/>
                      </w:divBdr>
                      <w:divsChild>
                        <w:div w:id="168257884">
                          <w:marLeft w:val="0"/>
                          <w:marRight w:val="0"/>
                          <w:marTop w:val="0"/>
                          <w:marBottom w:val="0"/>
                          <w:divBdr>
                            <w:top w:val="none" w:sz="0" w:space="0" w:color="auto"/>
                            <w:left w:val="none" w:sz="0" w:space="0" w:color="auto"/>
                            <w:bottom w:val="none" w:sz="0" w:space="0" w:color="auto"/>
                            <w:right w:val="none" w:sz="0" w:space="0" w:color="auto"/>
                          </w:divBdr>
                          <w:divsChild>
                            <w:div w:id="1470320846">
                              <w:marLeft w:val="0"/>
                              <w:marRight w:val="0"/>
                              <w:marTop w:val="0"/>
                              <w:marBottom w:val="0"/>
                              <w:divBdr>
                                <w:top w:val="none" w:sz="0" w:space="0" w:color="auto"/>
                                <w:left w:val="none" w:sz="0" w:space="0" w:color="auto"/>
                                <w:bottom w:val="none" w:sz="0" w:space="0" w:color="auto"/>
                                <w:right w:val="none" w:sz="0" w:space="0" w:color="auto"/>
                              </w:divBdr>
                              <w:divsChild>
                                <w:div w:id="1447384259">
                                  <w:marLeft w:val="0"/>
                                  <w:marRight w:val="0"/>
                                  <w:marTop w:val="0"/>
                                  <w:marBottom w:val="0"/>
                                  <w:divBdr>
                                    <w:top w:val="none" w:sz="0" w:space="0" w:color="auto"/>
                                    <w:left w:val="none" w:sz="0" w:space="0" w:color="auto"/>
                                    <w:bottom w:val="none" w:sz="0" w:space="0" w:color="auto"/>
                                    <w:right w:val="none" w:sz="0" w:space="0" w:color="auto"/>
                                  </w:divBdr>
                                  <w:divsChild>
                                    <w:div w:id="769739803">
                                      <w:marLeft w:val="0"/>
                                      <w:marRight w:val="0"/>
                                      <w:marTop w:val="0"/>
                                      <w:marBottom w:val="0"/>
                                      <w:divBdr>
                                        <w:top w:val="none" w:sz="0" w:space="0" w:color="auto"/>
                                        <w:left w:val="none" w:sz="0" w:space="0" w:color="auto"/>
                                        <w:bottom w:val="none" w:sz="0" w:space="0" w:color="auto"/>
                                        <w:right w:val="none" w:sz="0" w:space="0" w:color="auto"/>
                                      </w:divBdr>
                                      <w:divsChild>
                                        <w:div w:id="1550261688">
                                          <w:marLeft w:val="0"/>
                                          <w:marRight w:val="0"/>
                                          <w:marTop w:val="0"/>
                                          <w:marBottom w:val="495"/>
                                          <w:divBdr>
                                            <w:top w:val="none" w:sz="0" w:space="0" w:color="auto"/>
                                            <w:left w:val="none" w:sz="0" w:space="0" w:color="auto"/>
                                            <w:bottom w:val="none" w:sz="0" w:space="0" w:color="auto"/>
                                            <w:right w:val="none" w:sz="0" w:space="0" w:color="auto"/>
                                          </w:divBdr>
                                          <w:divsChild>
                                            <w:div w:id="37226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Enes Sehic</cp:lastModifiedBy>
  <cp:revision>3</cp:revision>
  <dcterms:created xsi:type="dcterms:W3CDTF">2019-04-16T11:10:00Z</dcterms:created>
  <dcterms:modified xsi:type="dcterms:W3CDTF">2019-04-16T11:47:00Z</dcterms:modified>
</cp:coreProperties>
</file>