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7E" w:rsidRDefault="00CC557E" w:rsidP="00CC557E">
      <w:pPr>
        <w:jc w:val="center"/>
        <w:rPr>
          <w:rFonts w:asciiTheme="majorHAnsi" w:hAnsiTheme="majorHAnsi"/>
          <w:b/>
          <w:sz w:val="28"/>
          <w:szCs w:val="28"/>
          <w:lang w:val="en-US"/>
        </w:rPr>
      </w:pPr>
      <w:r w:rsidRPr="00CC557E">
        <w:rPr>
          <w:rFonts w:asciiTheme="majorHAnsi" w:hAnsiTheme="majorHAnsi"/>
          <w:b/>
          <w:sz w:val="28"/>
          <w:szCs w:val="28"/>
          <w:lang w:val="en-US"/>
        </w:rPr>
        <w:t>European Commission's</w:t>
      </w:r>
      <w:r w:rsidR="00C240F5">
        <w:rPr>
          <w:rFonts w:asciiTheme="majorHAnsi" w:hAnsiTheme="majorHAnsi"/>
          <w:b/>
          <w:sz w:val="28"/>
          <w:szCs w:val="28"/>
          <w:lang w:val="en-US"/>
        </w:rPr>
        <w:t xml:space="preserve"> </w:t>
      </w:r>
      <w:r w:rsidRPr="00CC557E">
        <w:rPr>
          <w:rFonts w:asciiTheme="majorHAnsi" w:hAnsiTheme="majorHAnsi"/>
          <w:b/>
          <w:sz w:val="28"/>
          <w:szCs w:val="28"/>
          <w:lang w:val="en-US"/>
        </w:rPr>
        <w:t>recommendations</w:t>
      </w:r>
      <w:r w:rsidR="00C240F5">
        <w:rPr>
          <w:rFonts w:asciiTheme="majorHAnsi" w:hAnsiTheme="majorHAnsi"/>
          <w:b/>
          <w:sz w:val="28"/>
          <w:szCs w:val="28"/>
          <w:lang w:val="en-US"/>
        </w:rPr>
        <w:t xml:space="preserve"> </w:t>
      </w:r>
      <w:r w:rsidRPr="00CC557E">
        <w:rPr>
          <w:rFonts w:asciiTheme="majorHAnsi" w:hAnsiTheme="majorHAnsi"/>
          <w:b/>
          <w:sz w:val="28"/>
          <w:szCs w:val="28"/>
          <w:lang w:val="en-US"/>
        </w:rPr>
        <w:t>based</w:t>
      </w:r>
      <w:r w:rsidR="00C240F5">
        <w:rPr>
          <w:rFonts w:asciiTheme="majorHAnsi" w:hAnsiTheme="majorHAnsi"/>
          <w:b/>
          <w:sz w:val="28"/>
          <w:szCs w:val="28"/>
          <w:lang w:val="en-US"/>
        </w:rPr>
        <w:t xml:space="preserve"> </w:t>
      </w:r>
      <w:r w:rsidRPr="00CC557E">
        <w:rPr>
          <w:rFonts w:asciiTheme="majorHAnsi" w:hAnsiTheme="majorHAnsi"/>
          <w:b/>
          <w:sz w:val="28"/>
          <w:szCs w:val="28"/>
          <w:lang w:val="en-US"/>
        </w:rPr>
        <w:t>on</w:t>
      </w:r>
      <w:r w:rsidR="00C240F5">
        <w:rPr>
          <w:rFonts w:asciiTheme="majorHAnsi" w:hAnsiTheme="majorHAnsi"/>
          <w:b/>
          <w:sz w:val="28"/>
          <w:szCs w:val="28"/>
          <w:lang w:val="en-US"/>
        </w:rPr>
        <w:t xml:space="preserve"> </w:t>
      </w:r>
      <w:r w:rsidRPr="00CC557E">
        <w:rPr>
          <w:rFonts w:asciiTheme="majorHAnsi" w:hAnsiTheme="majorHAnsi"/>
          <w:b/>
          <w:sz w:val="28"/>
          <w:szCs w:val="28"/>
          <w:lang w:val="en-US"/>
        </w:rPr>
        <w:t>expert</w:t>
      </w:r>
      <w:r w:rsidR="00C240F5">
        <w:rPr>
          <w:rFonts w:asciiTheme="majorHAnsi" w:hAnsiTheme="majorHAnsi"/>
          <w:b/>
          <w:sz w:val="28"/>
          <w:szCs w:val="28"/>
          <w:lang w:val="en-US"/>
        </w:rPr>
        <w:t xml:space="preserve"> </w:t>
      </w:r>
      <w:r w:rsidRPr="00CC557E">
        <w:rPr>
          <w:rFonts w:asciiTheme="majorHAnsi" w:hAnsiTheme="majorHAnsi"/>
          <w:b/>
          <w:sz w:val="28"/>
          <w:szCs w:val="28"/>
          <w:lang w:val="en-US"/>
        </w:rPr>
        <w:t xml:space="preserve">assessments </w:t>
      </w:r>
    </w:p>
    <w:p w:rsidR="00CC557E" w:rsidRPr="00CC557E" w:rsidRDefault="00CC557E" w:rsidP="00CC557E">
      <w:pPr>
        <w:jc w:val="center"/>
        <w:rPr>
          <w:rFonts w:asciiTheme="majorHAnsi" w:hAnsiTheme="majorHAnsi"/>
          <w:b/>
          <w:sz w:val="28"/>
          <w:szCs w:val="28"/>
          <w:lang w:val="en-US"/>
        </w:rPr>
      </w:pPr>
      <w:r w:rsidRPr="00CC557E">
        <w:rPr>
          <w:rFonts w:asciiTheme="majorHAnsi" w:hAnsiTheme="majorHAnsi"/>
          <w:b/>
          <w:sz w:val="28"/>
          <w:szCs w:val="28"/>
          <w:lang w:val="en-US"/>
        </w:rPr>
        <w:t>OF THE APPRAISAL OF JUDGES AND PROSECUTORS IN BIH JUDICIARY</w:t>
      </w:r>
    </w:p>
    <w:p w:rsidR="00CC557E" w:rsidRDefault="00CC557E" w:rsidP="00CC557E">
      <w:pPr>
        <w:jc w:val="center"/>
        <w:rPr>
          <w:rFonts w:asciiTheme="majorHAnsi" w:hAnsiTheme="majorHAnsi"/>
          <w:b/>
          <w:sz w:val="28"/>
          <w:szCs w:val="28"/>
        </w:rPr>
      </w:pPr>
      <w:r w:rsidRPr="00CC557E">
        <w:rPr>
          <w:rFonts w:asciiTheme="majorHAnsi" w:hAnsiTheme="majorHAnsi"/>
          <w:b/>
          <w:sz w:val="28"/>
          <w:szCs w:val="28"/>
        </w:rPr>
        <w:t xml:space="preserve"> </w:t>
      </w:r>
    </w:p>
    <w:p w:rsidR="00F93637" w:rsidRDefault="00CC557E" w:rsidP="00FB3204">
      <w:pPr>
        <w:spacing w:line="276" w:lineRule="auto"/>
        <w:jc w:val="center"/>
        <w:rPr>
          <w:rFonts w:asciiTheme="majorHAnsi" w:hAnsiTheme="majorHAnsi"/>
          <w:b/>
          <w:sz w:val="28"/>
          <w:szCs w:val="28"/>
        </w:rPr>
      </w:pPr>
      <w:r>
        <w:rPr>
          <w:rFonts w:asciiTheme="majorHAnsi" w:hAnsiTheme="majorHAnsi"/>
          <w:b/>
          <w:sz w:val="28"/>
          <w:szCs w:val="28"/>
        </w:rPr>
        <w:t>P</w:t>
      </w:r>
      <w:r w:rsidR="00D52EB0">
        <w:rPr>
          <w:rFonts w:asciiTheme="majorHAnsi" w:hAnsiTheme="majorHAnsi"/>
          <w:b/>
          <w:sz w:val="28"/>
          <w:szCs w:val="28"/>
        </w:rPr>
        <w:t>reporuk</w:t>
      </w:r>
      <w:r>
        <w:rPr>
          <w:rFonts w:asciiTheme="majorHAnsi" w:hAnsiTheme="majorHAnsi"/>
          <w:b/>
          <w:sz w:val="28"/>
          <w:szCs w:val="28"/>
        </w:rPr>
        <w:t>e Evropske</w:t>
      </w:r>
      <w:r w:rsidR="00474547">
        <w:rPr>
          <w:rFonts w:asciiTheme="majorHAnsi" w:hAnsiTheme="majorHAnsi"/>
          <w:b/>
          <w:sz w:val="28"/>
          <w:szCs w:val="28"/>
        </w:rPr>
        <w:t xml:space="preserve"> </w:t>
      </w:r>
      <w:r>
        <w:rPr>
          <w:rFonts w:asciiTheme="majorHAnsi" w:hAnsiTheme="majorHAnsi"/>
          <w:b/>
          <w:sz w:val="28"/>
          <w:szCs w:val="28"/>
        </w:rPr>
        <w:t xml:space="preserve">komisije </w:t>
      </w:r>
      <w:r w:rsidR="00C240F5">
        <w:rPr>
          <w:rFonts w:asciiTheme="majorHAnsi" w:hAnsiTheme="majorHAnsi"/>
          <w:b/>
          <w:sz w:val="28"/>
          <w:szCs w:val="28"/>
        </w:rPr>
        <w:t xml:space="preserve">zasnovane na </w:t>
      </w:r>
      <w:r w:rsidR="00F93637">
        <w:rPr>
          <w:rFonts w:asciiTheme="majorHAnsi" w:hAnsiTheme="majorHAnsi"/>
          <w:b/>
          <w:sz w:val="28"/>
          <w:szCs w:val="28"/>
        </w:rPr>
        <w:t>stručn</w:t>
      </w:r>
      <w:r w:rsidR="00C240F5">
        <w:rPr>
          <w:rFonts w:asciiTheme="majorHAnsi" w:hAnsiTheme="majorHAnsi"/>
          <w:b/>
          <w:sz w:val="28"/>
          <w:szCs w:val="28"/>
        </w:rPr>
        <w:t>oj</w:t>
      </w:r>
      <w:bookmarkStart w:id="0" w:name="_GoBack"/>
      <w:bookmarkEnd w:id="0"/>
      <w:r w:rsidR="00F93637">
        <w:rPr>
          <w:rFonts w:asciiTheme="majorHAnsi" w:hAnsiTheme="majorHAnsi"/>
          <w:b/>
          <w:sz w:val="28"/>
          <w:szCs w:val="28"/>
        </w:rPr>
        <w:t xml:space="preserve"> analiz</w:t>
      </w:r>
      <w:r w:rsidR="00C240F5">
        <w:rPr>
          <w:rFonts w:asciiTheme="majorHAnsi" w:hAnsiTheme="majorHAnsi"/>
          <w:b/>
          <w:sz w:val="28"/>
          <w:szCs w:val="28"/>
        </w:rPr>
        <w:t>i</w:t>
      </w:r>
    </w:p>
    <w:p w:rsidR="00D52EB0" w:rsidRPr="00D01160" w:rsidRDefault="00E968F6" w:rsidP="00FB3204">
      <w:pPr>
        <w:spacing w:line="276" w:lineRule="auto"/>
        <w:jc w:val="center"/>
        <w:rPr>
          <w:rFonts w:asciiTheme="majorHAnsi" w:hAnsiTheme="majorHAnsi"/>
          <w:b/>
          <w:sz w:val="28"/>
          <w:szCs w:val="28"/>
        </w:rPr>
      </w:pPr>
      <w:r w:rsidRPr="00E968F6">
        <w:rPr>
          <w:rFonts w:ascii="Arial" w:hAnsi="Arial" w:cs="Arial"/>
          <w:b/>
          <w:caps/>
          <w:lang w:val="hr-HR"/>
        </w:rPr>
        <w:t>ocjenjivanj</w:t>
      </w:r>
      <w:r w:rsidR="00474547">
        <w:rPr>
          <w:rFonts w:ascii="Arial" w:hAnsi="Arial" w:cs="Arial"/>
          <w:b/>
          <w:caps/>
          <w:lang w:val="hr-HR"/>
        </w:rPr>
        <w:t xml:space="preserve">A </w:t>
      </w:r>
      <w:r w:rsidRPr="00E968F6">
        <w:rPr>
          <w:rFonts w:ascii="Arial" w:hAnsi="Arial" w:cs="Arial"/>
          <w:b/>
          <w:caps/>
          <w:lang w:val="hr-HR"/>
        </w:rPr>
        <w:t>rada</w:t>
      </w:r>
      <w:r w:rsidR="00474547">
        <w:rPr>
          <w:rFonts w:ascii="Arial" w:hAnsi="Arial" w:cs="Arial"/>
          <w:b/>
          <w:caps/>
          <w:lang w:val="hr-HR"/>
        </w:rPr>
        <w:t xml:space="preserve"> </w:t>
      </w:r>
      <w:r w:rsidRPr="00E968F6">
        <w:rPr>
          <w:rFonts w:ascii="Arial" w:hAnsi="Arial" w:cs="Arial"/>
          <w:b/>
          <w:caps/>
          <w:lang w:val="hr-HR"/>
        </w:rPr>
        <w:t>sudija</w:t>
      </w:r>
      <w:r w:rsidR="00474547">
        <w:rPr>
          <w:rFonts w:ascii="Arial" w:hAnsi="Arial" w:cs="Arial"/>
          <w:b/>
          <w:caps/>
          <w:lang w:val="hr-HR"/>
        </w:rPr>
        <w:t xml:space="preserve"> </w:t>
      </w:r>
      <w:r w:rsidRPr="00E968F6">
        <w:rPr>
          <w:rFonts w:ascii="Arial" w:hAnsi="Arial" w:cs="Arial"/>
          <w:b/>
          <w:caps/>
          <w:lang w:val="hr-HR"/>
        </w:rPr>
        <w:t>i</w:t>
      </w:r>
      <w:r w:rsidR="00474547">
        <w:rPr>
          <w:rFonts w:ascii="Arial" w:hAnsi="Arial" w:cs="Arial"/>
          <w:b/>
          <w:caps/>
          <w:lang w:val="hr-HR"/>
        </w:rPr>
        <w:t xml:space="preserve"> </w:t>
      </w:r>
      <w:r w:rsidRPr="00E968F6">
        <w:rPr>
          <w:rFonts w:ascii="Arial" w:hAnsi="Arial" w:cs="Arial"/>
          <w:b/>
          <w:caps/>
          <w:lang w:val="hr-HR"/>
        </w:rPr>
        <w:t>tužilaca</w:t>
      </w:r>
      <w:r w:rsidR="00474547">
        <w:rPr>
          <w:rFonts w:ascii="Arial" w:hAnsi="Arial" w:cs="Arial"/>
          <w:b/>
          <w:caps/>
          <w:lang w:val="hr-HR"/>
        </w:rPr>
        <w:t xml:space="preserve"> u</w:t>
      </w:r>
      <w:r w:rsidR="00807D00">
        <w:rPr>
          <w:rFonts w:ascii="Arial" w:hAnsi="Arial" w:cs="Arial"/>
          <w:b/>
          <w:caps/>
          <w:lang w:val="hr-HR"/>
        </w:rPr>
        <w:t xml:space="preserve"> </w:t>
      </w:r>
      <w:r w:rsidR="00474547">
        <w:rPr>
          <w:rFonts w:ascii="Arial" w:hAnsi="Arial" w:cs="Arial"/>
          <w:b/>
          <w:caps/>
          <w:lang w:val="hr-HR"/>
        </w:rPr>
        <w:t>PRAVOSUĐU BiH</w:t>
      </w:r>
    </w:p>
    <w:p w:rsidR="00D01160" w:rsidRPr="00D01160" w:rsidRDefault="00D01160" w:rsidP="00FB3204">
      <w:pPr>
        <w:spacing w:line="276" w:lineRule="auto"/>
        <w:rPr>
          <w:rFonts w:asciiTheme="majorHAnsi" w:hAnsiTheme="majorHAnsi"/>
          <w:sz w:val="20"/>
          <w:szCs w:val="20"/>
        </w:rPr>
      </w:pPr>
    </w:p>
    <w:tbl>
      <w:tblPr>
        <w:tblStyle w:val="TableGrid"/>
        <w:tblW w:w="147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65"/>
        <w:gridCol w:w="5747"/>
        <w:gridCol w:w="142"/>
        <w:gridCol w:w="5783"/>
        <w:gridCol w:w="29"/>
        <w:gridCol w:w="1387"/>
        <w:gridCol w:w="655"/>
        <w:gridCol w:w="395"/>
      </w:tblGrid>
      <w:tr w:rsidR="00DF613E" w:rsidRPr="00F962B7" w:rsidTr="00C37C1C">
        <w:trPr>
          <w:cantSplit/>
          <w:tblHeader/>
        </w:trPr>
        <w:tc>
          <w:tcPr>
            <w:tcW w:w="627" w:type="dxa"/>
            <w:gridSpan w:val="2"/>
            <w:tcBorders>
              <w:bottom w:val="single" w:sz="4" w:space="0" w:color="BFBFBF" w:themeColor="background1" w:themeShade="BF"/>
            </w:tcBorders>
            <w:shd w:val="clear" w:color="auto" w:fill="000000" w:themeFill="text1"/>
            <w:tcMar>
              <w:top w:w="57" w:type="dxa"/>
              <w:bottom w:w="57" w:type="dxa"/>
            </w:tcMar>
          </w:tcPr>
          <w:p w:rsidR="00DF613E" w:rsidRPr="00F962B7" w:rsidRDefault="00C37C1C" w:rsidP="00C37C1C">
            <w:pPr>
              <w:spacing w:line="276" w:lineRule="auto"/>
              <w:rPr>
                <w:rFonts w:asciiTheme="majorHAnsi" w:hAnsiTheme="majorHAnsi" w:cs="Times New Roman"/>
                <w:color w:val="FFFFFF" w:themeColor="background1"/>
                <w:sz w:val="14"/>
                <w:szCs w:val="14"/>
              </w:rPr>
            </w:pPr>
            <w:r>
              <w:rPr>
                <w:rFonts w:asciiTheme="majorHAnsi" w:hAnsiTheme="majorHAnsi" w:cs="Times New Roman"/>
                <w:color w:val="FFFFFF" w:themeColor="background1"/>
                <w:sz w:val="14"/>
                <w:szCs w:val="14"/>
              </w:rPr>
              <w:t>No..</w:t>
            </w:r>
          </w:p>
        </w:tc>
        <w:tc>
          <w:tcPr>
            <w:tcW w:w="5889" w:type="dxa"/>
            <w:gridSpan w:val="2"/>
            <w:tcBorders>
              <w:bottom w:val="single" w:sz="4" w:space="0" w:color="BFBFBF" w:themeColor="background1" w:themeShade="BF"/>
            </w:tcBorders>
            <w:shd w:val="clear" w:color="auto" w:fill="000000" w:themeFill="text1"/>
            <w:tcMar>
              <w:top w:w="57" w:type="dxa"/>
              <w:bottom w:w="57" w:type="dxa"/>
            </w:tcMar>
          </w:tcPr>
          <w:p w:rsidR="00DF613E" w:rsidRPr="00F962B7" w:rsidRDefault="008430EF" w:rsidP="00FB3204">
            <w:pPr>
              <w:spacing w:line="276" w:lineRule="auto"/>
              <w:rPr>
                <w:rFonts w:asciiTheme="majorHAnsi" w:hAnsiTheme="majorHAnsi" w:cs="Times New Roman"/>
                <w:color w:val="FFFFFF" w:themeColor="background1"/>
                <w:sz w:val="14"/>
                <w:szCs w:val="14"/>
                <w:lang w:val="en-US" w:eastAsia="x-none"/>
              </w:rPr>
            </w:pPr>
            <w:r>
              <w:rPr>
                <w:rFonts w:asciiTheme="majorHAnsi" w:hAnsiTheme="majorHAnsi" w:cs="Times New Roman"/>
                <w:color w:val="FFFFFF" w:themeColor="background1"/>
                <w:sz w:val="14"/>
                <w:szCs w:val="14"/>
                <w:lang w:val="en-US" w:eastAsia="x-none"/>
              </w:rPr>
              <w:t>English</w:t>
            </w:r>
          </w:p>
        </w:tc>
        <w:tc>
          <w:tcPr>
            <w:tcW w:w="5783" w:type="dxa"/>
            <w:tcBorders>
              <w:bottom w:val="single" w:sz="4" w:space="0" w:color="BFBFBF" w:themeColor="background1" w:themeShade="BF"/>
            </w:tcBorders>
            <w:shd w:val="clear" w:color="auto" w:fill="000000" w:themeFill="text1"/>
            <w:tcMar>
              <w:top w:w="57" w:type="dxa"/>
              <w:bottom w:w="57" w:type="dxa"/>
            </w:tcMar>
          </w:tcPr>
          <w:p w:rsidR="00DF613E" w:rsidRPr="00F962B7" w:rsidRDefault="008430EF" w:rsidP="00FB3204">
            <w:pPr>
              <w:spacing w:line="276" w:lineRule="auto"/>
              <w:rPr>
                <w:rFonts w:asciiTheme="majorHAnsi" w:hAnsiTheme="majorHAnsi" w:cs="Times New Roman"/>
                <w:color w:val="FFFFFF" w:themeColor="background1"/>
                <w:sz w:val="14"/>
                <w:szCs w:val="14"/>
                <w:lang w:val="en-US" w:eastAsia="x-none"/>
              </w:rPr>
            </w:pPr>
            <w:r>
              <w:rPr>
                <w:rFonts w:asciiTheme="majorHAnsi" w:hAnsiTheme="majorHAnsi" w:cs="Times New Roman"/>
                <w:color w:val="FFFFFF" w:themeColor="background1"/>
                <w:sz w:val="14"/>
                <w:szCs w:val="14"/>
                <w:lang w:val="en-US" w:eastAsia="x-none"/>
              </w:rPr>
              <w:t>Translation</w:t>
            </w:r>
            <w:r w:rsidR="00D52EB0">
              <w:rPr>
                <w:rFonts w:asciiTheme="majorHAnsi" w:hAnsiTheme="majorHAnsi" w:cs="Times New Roman"/>
                <w:color w:val="FFFFFF" w:themeColor="background1"/>
                <w:sz w:val="14"/>
                <w:szCs w:val="14"/>
                <w:lang w:val="en-US" w:eastAsia="x-none"/>
              </w:rPr>
              <w:t xml:space="preserve"> / Prevod</w:t>
            </w:r>
          </w:p>
        </w:tc>
        <w:tc>
          <w:tcPr>
            <w:tcW w:w="2466" w:type="dxa"/>
            <w:gridSpan w:val="4"/>
            <w:tcBorders>
              <w:bottom w:val="single" w:sz="4" w:space="0" w:color="BFBFBF" w:themeColor="background1" w:themeShade="BF"/>
            </w:tcBorders>
            <w:shd w:val="clear" w:color="auto" w:fill="000000" w:themeFill="text1"/>
            <w:tcMar>
              <w:top w:w="57" w:type="dxa"/>
              <w:bottom w:w="57" w:type="dxa"/>
            </w:tcMar>
          </w:tcPr>
          <w:p w:rsidR="00DF613E" w:rsidRPr="00F962B7" w:rsidRDefault="00DF613E" w:rsidP="00FB3204">
            <w:pPr>
              <w:spacing w:line="276" w:lineRule="auto"/>
              <w:rPr>
                <w:rFonts w:asciiTheme="majorHAnsi" w:hAnsiTheme="majorHAnsi" w:cs="Times New Roman"/>
                <w:color w:val="FFFFFF" w:themeColor="background1"/>
                <w:sz w:val="14"/>
                <w:szCs w:val="14"/>
              </w:rPr>
            </w:pPr>
            <w:r w:rsidRPr="00F962B7">
              <w:rPr>
                <w:rFonts w:asciiTheme="majorHAnsi" w:hAnsiTheme="majorHAnsi" w:cs="Times New Roman"/>
                <w:color w:val="FFFFFF" w:themeColor="background1"/>
                <w:sz w:val="14"/>
                <w:szCs w:val="14"/>
              </w:rPr>
              <w:t>Proposed approach</w:t>
            </w:r>
            <w:r w:rsidR="00FB3204">
              <w:rPr>
                <w:rFonts w:asciiTheme="majorHAnsi" w:hAnsiTheme="majorHAnsi" w:cs="Times New Roman"/>
                <w:color w:val="FFFFFF" w:themeColor="background1"/>
                <w:sz w:val="14"/>
                <w:szCs w:val="14"/>
              </w:rPr>
              <w:t>/predloženi  pristup</w:t>
            </w:r>
          </w:p>
        </w:tc>
      </w:tr>
      <w:tr w:rsidR="00DF613E" w:rsidRPr="00F80FB5" w:rsidTr="00D26613">
        <w:trPr>
          <w:gridAfter w:val="1"/>
          <w:wAfter w:w="395" w:type="dxa"/>
          <w:cantSplit/>
          <w:trHeight w:hRule="exact" w:val="187"/>
          <w:tblHeader/>
        </w:trPr>
        <w:tc>
          <w:tcPr>
            <w:tcW w:w="627" w:type="dxa"/>
            <w:gridSpan w:val="2"/>
            <w:tcBorders>
              <w:top w:val="single" w:sz="4" w:space="0" w:color="BFBFBF" w:themeColor="background1" w:themeShade="BF"/>
              <w:left w:val="nil"/>
              <w:bottom w:val="single" w:sz="4" w:space="0" w:color="BFBFBF" w:themeColor="background1" w:themeShade="BF"/>
              <w:right w:val="nil"/>
            </w:tcBorders>
            <w:tcMar>
              <w:top w:w="57" w:type="dxa"/>
              <w:bottom w:w="57" w:type="dxa"/>
            </w:tcMar>
          </w:tcPr>
          <w:p w:rsidR="00DF613E" w:rsidRPr="00F80FB5" w:rsidRDefault="00DF613E" w:rsidP="00FB3204">
            <w:pPr>
              <w:spacing w:line="276" w:lineRule="auto"/>
              <w:rPr>
                <w:rFonts w:asciiTheme="majorHAnsi" w:hAnsiTheme="majorHAnsi" w:cs="Times New Roman"/>
                <w:b/>
                <w:sz w:val="20"/>
                <w:szCs w:val="20"/>
              </w:rPr>
            </w:pPr>
          </w:p>
        </w:tc>
        <w:tc>
          <w:tcPr>
            <w:tcW w:w="13088" w:type="dxa"/>
            <w:gridSpan w:val="5"/>
            <w:tcBorders>
              <w:top w:val="single" w:sz="4" w:space="0" w:color="BFBFBF" w:themeColor="background1" w:themeShade="BF"/>
              <w:left w:val="nil"/>
              <w:bottom w:val="single" w:sz="4" w:space="0" w:color="BFBFBF" w:themeColor="background1" w:themeShade="BF"/>
              <w:right w:val="nil"/>
            </w:tcBorders>
            <w:tcMar>
              <w:top w:w="57" w:type="dxa"/>
              <w:bottom w:w="57" w:type="dxa"/>
            </w:tcMar>
          </w:tcPr>
          <w:p w:rsidR="00DF613E" w:rsidRPr="00F80FB5" w:rsidRDefault="00DF613E" w:rsidP="00FB3204">
            <w:pPr>
              <w:spacing w:line="276" w:lineRule="auto"/>
              <w:rPr>
                <w:rFonts w:asciiTheme="majorHAnsi" w:hAnsiTheme="majorHAnsi" w:cs="Times New Roman"/>
                <w:b/>
                <w:sz w:val="20"/>
                <w:szCs w:val="20"/>
              </w:rPr>
            </w:pPr>
          </w:p>
        </w:tc>
        <w:tc>
          <w:tcPr>
            <w:tcW w:w="655"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rsidR="00DF613E" w:rsidRPr="00F80FB5" w:rsidRDefault="00DF613E" w:rsidP="00FB3204">
            <w:pPr>
              <w:spacing w:line="276" w:lineRule="auto"/>
              <w:rPr>
                <w:rFonts w:asciiTheme="majorHAnsi" w:hAnsiTheme="majorHAnsi" w:cs="Times New Roman"/>
                <w:sz w:val="18"/>
                <w:szCs w:val="18"/>
              </w:rPr>
            </w:pPr>
          </w:p>
        </w:tc>
      </w:tr>
      <w:tr w:rsidR="00C165D9" w:rsidRPr="00F80FB5" w:rsidTr="00D26613">
        <w:tc>
          <w:tcPr>
            <w:tcW w:w="14765" w:type="dxa"/>
            <w:gridSpan w:val="9"/>
            <w:shd w:val="clear" w:color="auto" w:fill="BFBFBF" w:themeFill="background1" w:themeFillShade="BF"/>
            <w:tcMar>
              <w:top w:w="57" w:type="dxa"/>
              <w:bottom w:w="57" w:type="dxa"/>
            </w:tcMar>
          </w:tcPr>
          <w:p w:rsidR="00C165D9" w:rsidRPr="00D52EB0" w:rsidRDefault="00C165D9" w:rsidP="00F93637">
            <w:pPr>
              <w:rPr>
                <w:rFonts w:asciiTheme="majorHAnsi" w:hAnsiTheme="majorHAnsi"/>
                <w:b/>
                <w:caps/>
                <w:sz w:val="16"/>
                <w:szCs w:val="16"/>
                <w:lang w:val="hr-HR" w:eastAsia="x-none"/>
              </w:rPr>
            </w:pPr>
          </w:p>
        </w:tc>
      </w:tr>
      <w:tr w:rsidR="005F21F7" w:rsidRPr="00F80FB5" w:rsidTr="00C37C1C">
        <w:tc>
          <w:tcPr>
            <w:tcW w:w="6516" w:type="dxa"/>
            <w:gridSpan w:val="4"/>
            <w:tcBorders>
              <w:right w:val="single" w:sz="4" w:space="0" w:color="auto"/>
            </w:tcBorders>
            <w:shd w:val="clear" w:color="auto" w:fill="F2F2F2" w:themeFill="background1" w:themeFillShade="F2"/>
            <w:tcMar>
              <w:top w:w="57" w:type="dxa"/>
              <w:bottom w:w="57" w:type="dxa"/>
            </w:tcMar>
          </w:tcPr>
          <w:p w:rsidR="005F21F7" w:rsidRPr="005F21F7" w:rsidRDefault="005F21F7" w:rsidP="005F21F7">
            <w:pPr>
              <w:tabs>
                <w:tab w:val="left" w:pos="1574"/>
              </w:tabs>
              <w:spacing w:line="276" w:lineRule="auto"/>
              <w:ind w:left="592"/>
              <w:rPr>
                <w:rFonts w:ascii="Arial" w:hAnsi="Arial" w:cs="Arial"/>
                <w:b/>
                <w:lang w:val="hr-HR" w:eastAsia="x-none"/>
              </w:rPr>
            </w:pPr>
            <w:r>
              <w:rPr>
                <w:rFonts w:ascii="Arial" w:hAnsi="Arial" w:cs="Arial"/>
                <w:b/>
                <w:lang w:val="en-US" w:eastAsia="x-none"/>
              </w:rPr>
              <w:t xml:space="preserve">1. </w:t>
            </w:r>
            <w:r w:rsidRPr="00325A20">
              <w:rPr>
                <w:rFonts w:ascii="Arial" w:hAnsi="Arial" w:cs="Arial"/>
                <w:b/>
                <w:lang w:eastAsia="x-none"/>
              </w:rPr>
              <w:t>Management Measures</w:t>
            </w:r>
          </w:p>
        </w:tc>
        <w:tc>
          <w:tcPr>
            <w:tcW w:w="8249" w:type="dxa"/>
            <w:gridSpan w:val="5"/>
            <w:tcBorders>
              <w:left w:val="single" w:sz="4" w:space="0" w:color="auto"/>
            </w:tcBorders>
            <w:shd w:val="clear" w:color="auto" w:fill="F2F2F2" w:themeFill="background1" w:themeFillShade="F2"/>
          </w:tcPr>
          <w:p w:rsidR="005F21F7" w:rsidRPr="005F21F7" w:rsidRDefault="005F21F7" w:rsidP="005F21F7">
            <w:pPr>
              <w:tabs>
                <w:tab w:val="left" w:pos="1574"/>
              </w:tabs>
              <w:spacing w:line="276" w:lineRule="auto"/>
              <w:ind w:left="568"/>
              <w:rPr>
                <w:rFonts w:ascii="Arial" w:hAnsi="Arial" w:cs="Arial"/>
                <w:b/>
                <w:lang w:val="hr-HR" w:eastAsia="x-none"/>
              </w:rPr>
            </w:pPr>
            <w:r w:rsidRPr="005F21F7">
              <w:rPr>
                <w:rFonts w:ascii="Arial" w:hAnsi="Arial" w:cs="Arial"/>
                <w:b/>
                <w:lang w:val="hr-HR" w:eastAsia="x-none"/>
              </w:rPr>
              <w:t>Mjere upravljanja</w:t>
            </w:r>
          </w:p>
        </w:tc>
      </w:tr>
      <w:tr w:rsidR="00DF613E" w:rsidRPr="00F80FB5" w:rsidTr="00C37C1C">
        <w:tc>
          <w:tcPr>
            <w:tcW w:w="627" w:type="dxa"/>
            <w:gridSpan w:val="2"/>
            <w:tcMar>
              <w:top w:w="57" w:type="dxa"/>
              <w:bottom w:w="57" w:type="dxa"/>
            </w:tcMar>
          </w:tcPr>
          <w:p w:rsidR="00DF613E" w:rsidRPr="00F80FB5" w:rsidRDefault="00A5542A" w:rsidP="00FB3204">
            <w:pPr>
              <w:spacing w:line="276" w:lineRule="auto"/>
              <w:rPr>
                <w:rFonts w:asciiTheme="majorHAnsi" w:hAnsiTheme="majorHAnsi" w:cs="Times New Roman"/>
                <w:sz w:val="16"/>
                <w:szCs w:val="16"/>
              </w:rPr>
            </w:pPr>
            <w:r>
              <w:rPr>
                <w:rFonts w:asciiTheme="majorHAnsi" w:hAnsiTheme="majorHAnsi" w:cs="Times New Roman"/>
                <w:sz w:val="16"/>
                <w:szCs w:val="16"/>
              </w:rPr>
              <w:t>1</w:t>
            </w:r>
          </w:p>
        </w:tc>
        <w:tc>
          <w:tcPr>
            <w:tcW w:w="5889" w:type="dxa"/>
            <w:gridSpan w:val="2"/>
            <w:tcMar>
              <w:top w:w="57" w:type="dxa"/>
              <w:bottom w:w="57" w:type="dxa"/>
            </w:tcMar>
          </w:tcPr>
          <w:p w:rsidR="00562026" w:rsidRPr="009408C2" w:rsidRDefault="00325A20" w:rsidP="00FB3204">
            <w:pPr>
              <w:spacing w:line="276" w:lineRule="auto"/>
              <w:jc w:val="both"/>
              <w:rPr>
                <w:rFonts w:ascii="Arial" w:hAnsi="Arial" w:cs="Arial"/>
                <w:lang w:eastAsia="x-none"/>
              </w:rPr>
            </w:pPr>
            <w:r w:rsidRPr="00325A20">
              <w:rPr>
                <w:rFonts w:ascii="Arial" w:hAnsi="Arial" w:cs="Arial"/>
                <w:lang w:eastAsia="x-none"/>
              </w:rPr>
              <w:t>The appraisal system should be mandatory for all judges and prosecutors in BiH</w:t>
            </w:r>
            <w:r w:rsidR="008E5636">
              <w:rPr>
                <w:rFonts w:ascii="Arial" w:hAnsi="Arial" w:cs="Arial"/>
                <w:lang w:eastAsia="x-none"/>
              </w:rPr>
              <w:t>,</w:t>
            </w:r>
            <w:r w:rsidRPr="00325A20">
              <w:rPr>
                <w:rFonts w:ascii="Arial" w:hAnsi="Arial" w:cs="Arial"/>
                <w:lang w:eastAsia="x-none"/>
              </w:rPr>
              <w:t xml:space="preserve"> including those belonging to the State level judicial institutions.</w:t>
            </w:r>
          </w:p>
        </w:tc>
        <w:tc>
          <w:tcPr>
            <w:tcW w:w="5783" w:type="dxa"/>
            <w:tcMar>
              <w:top w:w="57" w:type="dxa"/>
              <w:bottom w:w="57" w:type="dxa"/>
            </w:tcMar>
          </w:tcPr>
          <w:p w:rsidR="00DF613E" w:rsidRPr="00C37C1C" w:rsidRDefault="00043DE2" w:rsidP="00043DE2">
            <w:pPr>
              <w:spacing w:line="276" w:lineRule="auto"/>
              <w:jc w:val="both"/>
              <w:rPr>
                <w:rFonts w:ascii="Arial" w:hAnsi="Arial" w:cs="Arial"/>
                <w:lang w:eastAsia="x-none"/>
              </w:rPr>
            </w:pPr>
            <w:r w:rsidRPr="00043DE2">
              <w:rPr>
                <w:rFonts w:ascii="Arial" w:hAnsi="Arial" w:cs="Arial"/>
                <w:lang w:eastAsia="x-none"/>
              </w:rPr>
              <w:t>Sistem ocjenjivanja bi trebao biti obavezan za sve sudije i tužioce u BiH uključujući i one koji rade u pravosudnim institucijama na državnom nivou.</w:t>
            </w:r>
          </w:p>
        </w:tc>
        <w:tc>
          <w:tcPr>
            <w:tcW w:w="2466" w:type="dxa"/>
            <w:gridSpan w:val="4"/>
            <w:tcMar>
              <w:top w:w="57" w:type="dxa"/>
              <w:bottom w:w="57" w:type="dxa"/>
            </w:tcMar>
          </w:tcPr>
          <w:p w:rsidR="00DF613E" w:rsidRPr="00F80FB5" w:rsidRDefault="00DF613E" w:rsidP="00FB3204">
            <w:pPr>
              <w:spacing w:line="276" w:lineRule="auto"/>
              <w:rPr>
                <w:rFonts w:asciiTheme="majorHAnsi" w:hAnsiTheme="majorHAnsi"/>
                <w:sz w:val="16"/>
                <w:szCs w:val="16"/>
                <w:lang w:val="en-US" w:eastAsia="x-none"/>
              </w:rPr>
            </w:pPr>
          </w:p>
        </w:tc>
      </w:tr>
      <w:tr w:rsidR="00DF613E" w:rsidRPr="00F80FB5" w:rsidTr="00C37C1C">
        <w:tc>
          <w:tcPr>
            <w:tcW w:w="627" w:type="dxa"/>
            <w:gridSpan w:val="2"/>
            <w:tcMar>
              <w:top w:w="57" w:type="dxa"/>
              <w:bottom w:w="57" w:type="dxa"/>
            </w:tcMar>
          </w:tcPr>
          <w:p w:rsidR="00DF613E" w:rsidRPr="00F80FB5" w:rsidRDefault="00A5542A" w:rsidP="00FB3204">
            <w:pPr>
              <w:spacing w:line="276" w:lineRule="auto"/>
              <w:rPr>
                <w:rFonts w:asciiTheme="majorHAnsi" w:hAnsiTheme="majorHAnsi" w:cs="Times New Roman"/>
                <w:sz w:val="16"/>
                <w:szCs w:val="16"/>
              </w:rPr>
            </w:pPr>
            <w:r>
              <w:rPr>
                <w:rFonts w:asciiTheme="majorHAnsi" w:hAnsiTheme="majorHAnsi" w:cs="Times New Roman"/>
                <w:sz w:val="16"/>
                <w:szCs w:val="16"/>
              </w:rPr>
              <w:t>2</w:t>
            </w:r>
          </w:p>
        </w:tc>
        <w:tc>
          <w:tcPr>
            <w:tcW w:w="5889" w:type="dxa"/>
            <w:gridSpan w:val="2"/>
            <w:tcMar>
              <w:top w:w="57" w:type="dxa"/>
              <w:bottom w:w="57" w:type="dxa"/>
            </w:tcMar>
          </w:tcPr>
          <w:p w:rsidR="00DF613E" w:rsidRPr="009408C2" w:rsidRDefault="00325A20" w:rsidP="00FB3204">
            <w:pPr>
              <w:spacing w:line="276" w:lineRule="auto"/>
              <w:jc w:val="both"/>
              <w:rPr>
                <w:rFonts w:ascii="Arial" w:hAnsi="Arial" w:cs="Arial"/>
                <w:lang w:eastAsia="x-none"/>
              </w:rPr>
            </w:pPr>
            <w:r w:rsidRPr="00325A20">
              <w:rPr>
                <w:rFonts w:ascii="Arial" w:hAnsi="Arial" w:cs="Arial"/>
                <w:lang w:eastAsia="x-none"/>
              </w:rPr>
              <w:t xml:space="preserve">The evaluation of judges and prosecutors involves a complex application of quantitative and quality criteria that should </w:t>
            </w:r>
            <w:r w:rsidR="00120B7B">
              <w:rPr>
                <w:rFonts w:ascii="Arial" w:hAnsi="Arial" w:cs="Arial"/>
                <w:lang w:eastAsia="x-none"/>
              </w:rPr>
              <w:t xml:space="preserve">have </w:t>
            </w:r>
            <w:r w:rsidRPr="00325A20">
              <w:rPr>
                <w:rFonts w:ascii="Arial" w:hAnsi="Arial" w:cs="Arial"/>
                <w:lang w:eastAsia="x-none"/>
              </w:rPr>
              <w:t>an equal relevance. Therefore</w:t>
            </w:r>
            <w:r w:rsidR="008354CD">
              <w:rPr>
                <w:rFonts w:ascii="Arial" w:hAnsi="Arial" w:cs="Arial"/>
                <w:lang w:eastAsia="x-none"/>
              </w:rPr>
              <w:t>,</w:t>
            </w:r>
            <w:r w:rsidRPr="00325A20">
              <w:rPr>
                <w:rFonts w:ascii="Arial" w:hAnsi="Arial" w:cs="Arial"/>
                <w:lang w:eastAsia="x-none"/>
              </w:rPr>
              <w:t xml:space="preserve"> the individual appraisal should take place, in normal circumstances, every three years and not annually.</w:t>
            </w:r>
          </w:p>
        </w:tc>
        <w:tc>
          <w:tcPr>
            <w:tcW w:w="5783" w:type="dxa"/>
            <w:tcMar>
              <w:top w:w="57" w:type="dxa"/>
              <w:bottom w:w="57" w:type="dxa"/>
            </w:tcMar>
          </w:tcPr>
          <w:p w:rsidR="00DF613E" w:rsidRPr="00C37C1C" w:rsidRDefault="00043DE2" w:rsidP="00FB3204">
            <w:pPr>
              <w:spacing w:line="276" w:lineRule="auto"/>
              <w:jc w:val="both"/>
              <w:rPr>
                <w:rFonts w:ascii="Arial" w:hAnsi="Arial" w:cs="Arial"/>
                <w:lang w:eastAsia="x-none"/>
              </w:rPr>
            </w:pPr>
            <w:r w:rsidRPr="00043DE2">
              <w:rPr>
                <w:rFonts w:ascii="Arial" w:hAnsi="Arial" w:cs="Arial"/>
                <w:lang w:eastAsia="x-none"/>
              </w:rPr>
              <w:t>Ocjenjivanje sudija i tužilaca podrazumijeva kompleksnu primjenu kvantitativnih i kvalitativnih kriterija koji bi trebali biti jednako relevantni. Stoga, pojedinačno ocjenjivanje treba provoditi, u redovnim okolnostima, svake tri godine, a ne jednom godišnje.</w:t>
            </w:r>
          </w:p>
        </w:tc>
        <w:tc>
          <w:tcPr>
            <w:tcW w:w="2466" w:type="dxa"/>
            <w:gridSpan w:val="4"/>
            <w:tcMar>
              <w:top w:w="57" w:type="dxa"/>
              <w:bottom w:w="57" w:type="dxa"/>
            </w:tcMar>
          </w:tcPr>
          <w:p w:rsidR="00DF613E" w:rsidRPr="00F80FB5" w:rsidRDefault="00DF613E" w:rsidP="00FB3204">
            <w:pPr>
              <w:spacing w:line="276" w:lineRule="auto"/>
              <w:rPr>
                <w:rFonts w:asciiTheme="majorHAnsi" w:hAnsiTheme="majorHAnsi" w:cs="Times New Roman"/>
                <w:sz w:val="16"/>
                <w:szCs w:val="16"/>
              </w:rPr>
            </w:pPr>
          </w:p>
        </w:tc>
      </w:tr>
      <w:tr w:rsidR="00325A20" w:rsidRPr="00F80FB5" w:rsidTr="00C37C1C">
        <w:tc>
          <w:tcPr>
            <w:tcW w:w="627" w:type="dxa"/>
            <w:gridSpan w:val="2"/>
            <w:tcMar>
              <w:top w:w="57" w:type="dxa"/>
              <w:bottom w:w="57" w:type="dxa"/>
            </w:tcMar>
          </w:tcPr>
          <w:p w:rsidR="00325A20" w:rsidRDefault="00D26613" w:rsidP="00FB3204">
            <w:pPr>
              <w:spacing w:line="276" w:lineRule="auto"/>
              <w:rPr>
                <w:rFonts w:asciiTheme="majorHAnsi" w:hAnsiTheme="majorHAnsi" w:cs="Times New Roman"/>
                <w:sz w:val="16"/>
                <w:szCs w:val="16"/>
              </w:rPr>
            </w:pPr>
            <w:r>
              <w:rPr>
                <w:rFonts w:asciiTheme="majorHAnsi" w:hAnsiTheme="majorHAnsi" w:cs="Times New Roman"/>
                <w:sz w:val="16"/>
                <w:szCs w:val="16"/>
              </w:rPr>
              <w:t>3</w:t>
            </w:r>
          </w:p>
        </w:tc>
        <w:tc>
          <w:tcPr>
            <w:tcW w:w="5889" w:type="dxa"/>
            <w:gridSpan w:val="2"/>
            <w:tcMar>
              <w:top w:w="57" w:type="dxa"/>
              <w:bottom w:w="57" w:type="dxa"/>
            </w:tcMar>
          </w:tcPr>
          <w:p w:rsidR="00325A20" w:rsidRPr="00325A20" w:rsidRDefault="00325A20" w:rsidP="009408C2">
            <w:pPr>
              <w:spacing w:line="276" w:lineRule="auto"/>
              <w:jc w:val="both"/>
              <w:rPr>
                <w:rFonts w:ascii="Arial" w:hAnsi="Arial" w:cs="Arial"/>
                <w:lang w:eastAsia="x-none"/>
              </w:rPr>
            </w:pPr>
            <w:r w:rsidRPr="00325A20">
              <w:rPr>
                <w:rFonts w:ascii="Arial" w:hAnsi="Arial" w:cs="Arial"/>
                <w:lang w:eastAsia="x-none"/>
              </w:rPr>
              <w:t>The evaluation of judges and prosecutors must</w:t>
            </w:r>
            <w:r w:rsidR="009408C2">
              <w:rPr>
                <w:rFonts w:ascii="Arial" w:hAnsi="Arial" w:cs="Arial"/>
                <w:lang w:eastAsia="x-none"/>
              </w:rPr>
              <w:t xml:space="preserve"> </w:t>
            </w:r>
            <w:r w:rsidRPr="00325A20">
              <w:rPr>
                <w:rFonts w:ascii="Arial" w:hAnsi="Arial" w:cs="Arial"/>
                <w:lang w:eastAsia="x-none"/>
              </w:rPr>
              <w:t>equally have as a purpose the improvement of the</w:t>
            </w:r>
            <w:r w:rsidR="009408C2">
              <w:rPr>
                <w:rFonts w:ascii="Arial" w:hAnsi="Arial" w:cs="Arial"/>
                <w:lang w:eastAsia="x-none"/>
              </w:rPr>
              <w:t xml:space="preserve"> </w:t>
            </w:r>
            <w:r w:rsidRPr="00325A20">
              <w:rPr>
                <w:rFonts w:ascii="Arial" w:hAnsi="Arial" w:cs="Arial"/>
                <w:lang w:eastAsia="x-none"/>
              </w:rPr>
              <w:t>management of human resources. In this sense,</w:t>
            </w:r>
            <w:r w:rsidR="009408C2">
              <w:rPr>
                <w:rFonts w:ascii="Arial" w:hAnsi="Arial" w:cs="Arial"/>
                <w:lang w:eastAsia="x-none"/>
              </w:rPr>
              <w:t xml:space="preserve"> </w:t>
            </w:r>
            <w:r w:rsidRPr="00325A20">
              <w:rPr>
                <w:rFonts w:ascii="Arial" w:hAnsi="Arial" w:cs="Arial"/>
                <w:lang w:eastAsia="x-none"/>
              </w:rPr>
              <w:t>evaluators should produce guidelines and written instructions assessing the bottlenecks detected in the judicial system and indicating measures to be</w:t>
            </w:r>
            <w:r w:rsidR="009408C2">
              <w:rPr>
                <w:rFonts w:ascii="Arial" w:hAnsi="Arial" w:cs="Arial"/>
                <w:lang w:eastAsia="x-none"/>
              </w:rPr>
              <w:t xml:space="preserve"> </w:t>
            </w:r>
            <w:r w:rsidRPr="00325A20">
              <w:rPr>
                <w:rFonts w:ascii="Arial" w:hAnsi="Arial" w:cs="Arial"/>
                <w:lang w:eastAsia="x-none"/>
              </w:rPr>
              <w:t>implemented to obtain a more effective and efficient</w:t>
            </w:r>
            <w:r w:rsidR="009408C2">
              <w:rPr>
                <w:rFonts w:ascii="Arial" w:hAnsi="Arial" w:cs="Arial"/>
                <w:lang w:eastAsia="x-none"/>
              </w:rPr>
              <w:t xml:space="preserve"> </w:t>
            </w:r>
            <w:r w:rsidRPr="00325A20">
              <w:rPr>
                <w:rFonts w:ascii="Arial" w:hAnsi="Arial" w:cs="Arial"/>
                <w:lang w:eastAsia="x-none"/>
              </w:rPr>
              <w:t>judiciary. Evaluators – Presidents of Courts and</w:t>
            </w:r>
            <w:r w:rsidR="009408C2">
              <w:rPr>
                <w:rFonts w:ascii="Arial" w:hAnsi="Arial" w:cs="Arial"/>
                <w:lang w:eastAsia="x-none"/>
              </w:rPr>
              <w:t xml:space="preserve"> </w:t>
            </w:r>
            <w:r w:rsidRPr="00325A20">
              <w:rPr>
                <w:rFonts w:ascii="Arial" w:hAnsi="Arial" w:cs="Arial"/>
                <w:lang w:eastAsia="x-none"/>
              </w:rPr>
              <w:t>Chiefs Prosecutors but also the Evaluation</w:t>
            </w:r>
            <w:r w:rsidR="009408C2">
              <w:rPr>
                <w:rFonts w:ascii="Arial" w:hAnsi="Arial" w:cs="Arial"/>
                <w:lang w:eastAsia="x-none"/>
              </w:rPr>
              <w:t xml:space="preserve"> </w:t>
            </w:r>
            <w:r w:rsidRPr="00325A20">
              <w:rPr>
                <w:rFonts w:ascii="Arial" w:hAnsi="Arial" w:cs="Arial"/>
                <w:lang w:eastAsia="x-none"/>
              </w:rPr>
              <w:t xml:space="preserve">Committee within HJPC – with the active and formal assistance of </w:t>
            </w:r>
            <w:r w:rsidRPr="00325A20">
              <w:rPr>
                <w:rFonts w:ascii="Arial" w:hAnsi="Arial" w:cs="Arial"/>
                <w:lang w:eastAsia="x-none"/>
              </w:rPr>
              <w:lastRenderedPageBreak/>
              <w:t xml:space="preserve">Heads of Department must include, in their appraisals, measures to provide a better performance of respective magistrates and of their courts as a whole. </w:t>
            </w:r>
          </w:p>
          <w:p w:rsidR="00325A20" w:rsidRPr="00325A20" w:rsidRDefault="00325A20" w:rsidP="00325A20">
            <w:pPr>
              <w:spacing w:line="276" w:lineRule="auto"/>
              <w:jc w:val="both"/>
              <w:rPr>
                <w:rFonts w:ascii="Arial" w:hAnsi="Arial" w:cs="Arial"/>
                <w:lang w:eastAsia="x-none"/>
              </w:rPr>
            </w:pPr>
            <w:r w:rsidRPr="00325A20">
              <w:rPr>
                <w:rFonts w:ascii="Arial" w:hAnsi="Arial" w:cs="Arial"/>
                <w:lang w:eastAsia="x-none"/>
              </w:rPr>
              <w:t xml:space="preserve">These findings under the aspect of management of human resources have to clearly distinguish between facts the appraised person is responsible for and such falling under the responsibility of the “system of judiciary”. In the first case it may be taken into account positive or negative for the person concerned. In the second case this is strictly to be refrained from.  </w:t>
            </w:r>
          </w:p>
        </w:tc>
        <w:tc>
          <w:tcPr>
            <w:tcW w:w="5783" w:type="dxa"/>
            <w:tcMar>
              <w:top w:w="57" w:type="dxa"/>
              <w:bottom w:w="57" w:type="dxa"/>
            </w:tcMar>
          </w:tcPr>
          <w:p w:rsidR="00043DE2" w:rsidRPr="00043DE2" w:rsidRDefault="00043DE2" w:rsidP="00043DE2">
            <w:pPr>
              <w:spacing w:line="276" w:lineRule="auto"/>
              <w:jc w:val="both"/>
              <w:rPr>
                <w:rFonts w:ascii="Arial" w:hAnsi="Arial" w:cs="Arial"/>
                <w:lang w:val="hr-HR" w:eastAsia="x-none"/>
              </w:rPr>
            </w:pPr>
            <w:r w:rsidRPr="00043DE2">
              <w:rPr>
                <w:rFonts w:ascii="Arial" w:hAnsi="Arial" w:cs="Arial"/>
                <w:lang w:val="hr-HR" w:eastAsia="x-none"/>
              </w:rPr>
              <w:lastRenderedPageBreak/>
              <w:t xml:space="preserve">Ocjena sudija i tužilaca mora </w:t>
            </w:r>
            <w:r w:rsidR="00930AE6">
              <w:rPr>
                <w:rFonts w:ascii="Arial" w:hAnsi="Arial" w:cs="Arial"/>
                <w:lang w:val="hr-HR" w:eastAsia="x-none"/>
              </w:rPr>
              <w:t xml:space="preserve">takođe </w:t>
            </w:r>
            <w:r w:rsidRPr="00043DE2">
              <w:rPr>
                <w:rFonts w:ascii="Arial" w:hAnsi="Arial" w:cs="Arial"/>
                <w:lang w:val="hr-HR" w:eastAsia="x-none"/>
              </w:rPr>
              <w:t xml:space="preserve">za cilj imati unapređenje upravljanja ljudskim resursima. U ovom smislu, ocjenjivači bi trebali sačiniti smjernice i pisane instrukcije sa objašnjenjem uskih grla koja uoče u pravosudnom sistemu i ukazati na </w:t>
            </w:r>
            <w:r w:rsidR="00930AE6">
              <w:rPr>
                <w:rFonts w:ascii="Arial" w:hAnsi="Arial" w:cs="Arial"/>
                <w:lang w:val="hr-HR" w:eastAsia="x-none"/>
              </w:rPr>
              <w:t xml:space="preserve">potrebne </w:t>
            </w:r>
            <w:r w:rsidRPr="00043DE2">
              <w:rPr>
                <w:rFonts w:ascii="Arial" w:hAnsi="Arial" w:cs="Arial"/>
                <w:lang w:val="hr-HR" w:eastAsia="x-none"/>
              </w:rPr>
              <w:t xml:space="preserve">mjere za postizanje efektivnijeg i efikasnijeg pravosuđa. Ocjenjivači – predsjednici sudova i glavni tužioci, ali i komisija za ocjenjivanje unutar VSTV-a – uz aktivnu i formalnu podršku šefova odjeljenja, moraju u svojoj ocjeni rada navesti mjere za unapređenje rada </w:t>
            </w:r>
            <w:r w:rsidRPr="00043DE2">
              <w:rPr>
                <w:rFonts w:ascii="Arial" w:hAnsi="Arial" w:cs="Arial"/>
                <w:lang w:val="hr-HR" w:eastAsia="x-none"/>
              </w:rPr>
              <w:lastRenderedPageBreak/>
              <w:t xml:space="preserve">određenog nosioca pravosudne funkcije i njihovih sudova inače. </w:t>
            </w:r>
          </w:p>
          <w:p w:rsidR="00325A20" w:rsidRPr="00C37C1C" w:rsidRDefault="00043DE2" w:rsidP="00FB3204">
            <w:pPr>
              <w:spacing w:line="276" w:lineRule="auto"/>
              <w:jc w:val="both"/>
              <w:rPr>
                <w:rFonts w:ascii="Arial" w:hAnsi="Arial" w:cs="Arial"/>
                <w:lang w:val="hr-HR" w:eastAsia="x-none"/>
              </w:rPr>
            </w:pPr>
            <w:r w:rsidRPr="00043DE2">
              <w:rPr>
                <w:rFonts w:ascii="Arial" w:hAnsi="Arial" w:cs="Arial"/>
                <w:lang w:val="hr-HR" w:eastAsia="x-none"/>
              </w:rPr>
              <w:t xml:space="preserve">Ovi nalazi, sa aspekta upravljanja ljudskim resursima, moraju jasno praviti razliku između činjenica za koje je odgovorna osoba koja se ocjenjuje i onih koje spadaju u nadležnost “sistema pravosuđa”. U prvom slučaju, u obzir se uzimaju pozitivne i negativne (činjenice) za osobu o kojoj je riječ. U drugom slučaju se od ovoga mora strogo uzdržati.  </w:t>
            </w:r>
          </w:p>
        </w:tc>
        <w:tc>
          <w:tcPr>
            <w:tcW w:w="2466" w:type="dxa"/>
            <w:gridSpan w:val="4"/>
            <w:tcMar>
              <w:top w:w="57" w:type="dxa"/>
              <w:bottom w:w="57" w:type="dxa"/>
            </w:tcMar>
          </w:tcPr>
          <w:p w:rsidR="00325A20" w:rsidRPr="00F80FB5" w:rsidRDefault="00325A20" w:rsidP="00FB3204">
            <w:pPr>
              <w:spacing w:line="276" w:lineRule="auto"/>
              <w:rPr>
                <w:rFonts w:asciiTheme="majorHAnsi" w:hAnsiTheme="majorHAnsi" w:cs="Times New Roman"/>
                <w:sz w:val="16"/>
                <w:szCs w:val="16"/>
              </w:rPr>
            </w:pPr>
          </w:p>
        </w:tc>
      </w:tr>
      <w:tr w:rsidR="00325A20" w:rsidRPr="00F80FB5" w:rsidTr="00C37C1C">
        <w:tc>
          <w:tcPr>
            <w:tcW w:w="627" w:type="dxa"/>
            <w:gridSpan w:val="2"/>
            <w:tcMar>
              <w:top w:w="57" w:type="dxa"/>
              <w:bottom w:w="57" w:type="dxa"/>
            </w:tcMar>
          </w:tcPr>
          <w:p w:rsidR="00325A20" w:rsidRDefault="009408C2" w:rsidP="00FB3204">
            <w:pPr>
              <w:spacing w:line="276" w:lineRule="auto"/>
              <w:rPr>
                <w:rFonts w:asciiTheme="majorHAnsi" w:hAnsiTheme="majorHAnsi" w:cs="Times New Roman"/>
                <w:sz w:val="16"/>
                <w:szCs w:val="16"/>
              </w:rPr>
            </w:pPr>
            <w:r>
              <w:rPr>
                <w:rFonts w:asciiTheme="majorHAnsi" w:hAnsiTheme="majorHAnsi" w:cs="Times New Roman"/>
                <w:sz w:val="16"/>
                <w:szCs w:val="16"/>
              </w:rPr>
              <w:t>4</w:t>
            </w:r>
          </w:p>
        </w:tc>
        <w:tc>
          <w:tcPr>
            <w:tcW w:w="5889" w:type="dxa"/>
            <w:gridSpan w:val="2"/>
            <w:tcMar>
              <w:top w:w="57" w:type="dxa"/>
              <w:bottom w:w="57" w:type="dxa"/>
            </w:tcMar>
          </w:tcPr>
          <w:p w:rsidR="00325A20" w:rsidRPr="00325A20" w:rsidRDefault="00325A20" w:rsidP="00325A20">
            <w:pPr>
              <w:spacing w:line="276" w:lineRule="auto"/>
              <w:jc w:val="both"/>
              <w:rPr>
                <w:rFonts w:ascii="Arial" w:hAnsi="Arial" w:cs="Arial"/>
                <w:lang w:eastAsia="x-none"/>
              </w:rPr>
            </w:pPr>
            <w:r w:rsidRPr="00325A20">
              <w:rPr>
                <w:rFonts w:ascii="Arial" w:hAnsi="Arial" w:cs="Arial"/>
                <w:lang w:eastAsia="x-none"/>
              </w:rPr>
              <w:t xml:space="preserve">The highest grade in the evaluation rank should be reserved to exceptional performance of judges and prosecutors in order to encourage excellence in the judiciary. Therefore the maximum rate in the appraisal should be conceded at maximum to 20% of the evaluated in each Court or Prosecutors Offices except if reasoned circumstances justify a higher percentage. </w:t>
            </w:r>
          </w:p>
        </w:tc>
        <w:tc>
          <w:tcPr>
            <w:tcW w:w="5783" w:type="dxa"/>
            <w:tcMar>
              <w:top w:w="57" w:type="dxa"/>
              <w:bottom w:w="57" w:type="dxa"/>
            </w:tcMar>
          </w:tcPr>
          <w:p w:rsidR="00325A20" w:rsidRPr="00C37C1C" w:rsidRDefault="00043DE2" w:rsidP="00FB3204">
            <w:pPr>
              <w:spacing w:line="276" w:lineRule="auto"/>
              <w:jc w:val="both"/>
              <w:rPr>
                <w:rFonts w:ascii="Arial" w:hAnsi="Arial" w:cs="Arial"/>
                <w:lang w:val="hr-HR" w:eastAsia="x-none"/>
              </w:rPr>
            </w:pPr>
            <w:r w:rsidRPr="00043DE2">
              <w:rPr>
                <w:rFonts w:ascii="Arial" w:hAnsi="Arial" w:cs="Arial"/>
                <w:lang w:val="hr-HR" w:eastAsia="x-none"/>
              </w:rPr>
              <w:t xml:space="preserve">Najveća ocjena rada treba biti rezervisana za izuzetne rezultate sudija i tužilaca kako bi se podstakla izvrsnost u pravosuđu. Stoga, najbolje rezultate ocjenjivanja bi trebalo ograničiti na najviše 20% od ukupno ocijenjenih u svakom sudu ili tužilaštvu osim ako obrazložene okolnosti opravdavaju veći postotak. </w:t>
            </w:r>
          </w:p>
        </w:tc>
        <w:tc>
          <w:tcPr>
            <w:tcW w:w="2466" w:type="dxa"/>
            <w:gridSpan w:val="4"/>
            <w:tcMar>
              <w:top w:w="57" w:type="dxa"/>
              <w:bottom w:w="57" w:type="dxa"/>
            </w:tcMar>
          </w:tcPr>
          <w:p w:rsidR="00325A20" w:rsidRPr="00F80FB5" w:rsidRDefault="00325A20" w:rsidP="00FB3204">
            <w:pPr>
              <w:spacing w:line="276" w:lineRule="auto"/>
              <w:rPr>
                <w:rFonts w:asciiTheme="majorHAnsi" w:hAnsiTheme="majorHAnsi" w:cs="Times New Roman"/>
                <w:sz w:val="16"/>
                <w:szCs w:val="16"/>
              </w:rPr>
            </w:pPr>
          </w:p>
        </w:tc>
      </w:tr>
      <w:tr w:rsidR="00325A20" w:rsidRPr="00F80FB5" w:rsidTr="00C37C1C">
        <w:tc>
          <w:tcPr>
            <w:tcW w:w="627" w:type="dxa"/>
            <w:gridSpan w:val="2"/>
            <w:tcMar>
              <w:top w:w="57" w:type="dxa"/>
              <w:bottom w:w="57" w:type="dxa"/>
            </w:tcMar>
          </w:tcPr>
          <w:p w:rsidR="00325A20" w:rsidRDefault="009408C2" w:rsidP="00FB3204">
            <w:pPr>
              <w:spacing w:line="276" w:lineRule="auto"/>
              <w:rPr>
                <w:rFonts w:asciiTheme="majorHAnsi" w:hAnsiTheme="majorHAnsi" w:cs="Times New Roman"/>
                <w:sz w:val="16"/>
                <w:szCs w:val="16"/>
              </w:rPr>
            </w:pPr>
            <w:r>
              <w:rPr>
                <w:rFonts w:asciiTheme="majorHAnsi" w:hAnsiTheme="majorHAnsi" w:cs="Times New Roman"/>
                <w:sz w:val="16"/>
                <w:szCs w:val="16"/>
              </w:rPr>
              <w:t>5</w:t>
            </w:r>
          </w:p>
        </w:tc>
        <w:tc>
          <w:tcPr>
            <w:tcW w:w="5889" w:type="dxa"/>
            <w:gridSpan w:val="2"/>
            <w:tcMar>
              <w:top w:w="57" w:type="dxa"/>
              <w:bottom w:w="57" w:type="dxa"/>
            </w:tcMar>
          </w:tcPr>
          <w:p w:rsidR="00325A20" w:rsidRPr="009408C2" w:rsidRDefault="00325A20" w:rsidP="00325A20">
            <w:pPr>
              <w:spacing w:line="276" w:lineRule="auto"/>
              <w:jc w:val="both"/>
              <w:rPr>
                <w:rFonts w:ascii="Arial" w:hAnsi="Arial" w:cs="Arial"/>
                <w:lang w:val="en-US" w:eastAsia="x-none"/>
              </w:rPr>
            </w:pPr>
            <w:r w:rsidRPr="00325A20">
              <w:rPr>
                <w:rFonts w:ascii="Arial" w:hAnsi="Arial" w:cs="Arial"/>
                <w:lang w:eastAsia="x-none"/>
              </w:rPr>
              <w:t xml:space="preserve">The reforms of the judicial careers must be accompanied by </w:t>
            </w:r>
            <w:r w:rsidRPr="00325A20">
              <w:rPr>
                <w:rFonts w:ascii="Arial" w:hAnsi="Arial" w:cs="Arial"/>
                <w:lang w:val="en-US" w:eastAsia="x-none"/>
              </w:rPr>
              <w:t>a follow-up over a period of time deemed sufficient in order to build consensus-based solutions and review the implemented model to rectify possible errors or omissions.</w:t>
            </w:r>
          </w:p>
        </w:tc>
        <w:tc>
          <w:tcPr>
            <w:tcW w:w="5783" w:type="dxa"/>
            <w:tcMar>
              <w:top w:w="57" w:type="dxa"/>
              <w:bottom w:w="57" w:type="dxa"/>
            </w:tcMar>
          </w:tcPr>
          <w:p w:rsidR="00325A20" w:rsidRDefault="00043DE2" w:rsidP="00FB3204">
            <w:pPr>
              <w:spacing w:line="276" w:lineRule="auto"/>
              <w:jc w:val="both"/>
              <w:rPr>
                <w:rFonts w:ascii="Arial" w:hAnsi="Arial" w:cs="Arial"/>
                <w:lang w:val="hr-HR" w:eastAsia="x-none"/>
              </w:rPr>
            </w:pPr>
            <w:r w:rsidRPr="00043DE2">
              <w:rPr>
                <w:rFonts w:ascii="Arial" w:hAnsi="Arial" w:cs="Arial"/>
                <w:lang w:val="hr-HR" w:eastAsia="x-none"/>
              </w:rPr>
              <w:t>Reformu karijera u pravosuđu je potrebno pratiti u vremenskom periodu koji se ocijeni dovoljnim, kako bi se došlo do rješenja zasnovanih na konsenzusu i revidirao provedeni model radi otklanjanja eventualnih grešaka ili propusta.</w:t>
            </w:r>
          </w:p>
          <w:p w:rsidR="00930AE6" w:rsidRDefault="00930AE6" w:rsidP="00FB3204">
            <w:pPr>
              <w:spacing w:line="276" w:lineRule="auto"/>
              <w:jc w:val="both"/>
              <w:rPr>
                <w:rFonts w:ascii="Arial" w:hAnsi="Arial" w:cs="Arial"/>
                <w:lang w:val="hr-HR" w:eastAsia="x-none"/>
              </w:rPr>
            </w:pPr>
          </w:p>
          <w:p w:rsidR="00930AE6" w:rsidRDefault="00930AE6" w:rsidP="00FB3204">
            <w:pPr>
              <w:spacing w:line="276" w:lineRule="auto"/>
              <w:jc w:val="both"/>
              <w:rPr>
                <w:rFonts w:ascii="Arial" w:hAnsi="Arial" w:cs="Arial"/>
                <w:lang w:val="hr-HR" w:eastAsia="x-none"/>
              </w:rPr>
            </w:pPr>
          </w:p>
          <w:p w:rsidR="00930AE6" w:rsidRDefault="00930AE6" w:rsidP="00FB3204">
            <w:pPr>
              <w:spacing w:line="276" w:lineRule="auto"/>
              <w:jc w:val="both"/>
              <w:rPr>
                <w:rFonts w:ascii="Arial" w:hAnsi="Arial" w:cs="Arial"/>
                <w:lang w:val="hr-HR" w:eastAsia="x-none"/>
              </w:rPr>
            </w:pPr>
          </w:p>
          <w:p w:rsidR="00930AE6" w:rsidRPr="00C37C1C" w:rsidRDefault="00930AE6" w:rsidP="00FB3204">
            <w:pPr>
              <w:spacing w:line="276" w:lineRule="auto"/>
              <w:jc w:val="both"/>
              <w:rPr>
                <w:rFonts w:ascii="Arial" w:hAnsi="Arial" w:cs="Arial"/>
                <w:lang w:val="hr-HR" w:eastAsia="x-none"/>
              </w:rPr>
            </w:pPr>
          </w:p>
        </w:tc>
        <w:tc>
          <w:tcPr>
            <w:tcW w:w="2466" w:type="dxa"/>
            <w:gridSpan w:val="4"/>
            <w:tcMar>
              <w:top w:w="57" w:type="dxa"/>
              <w:bottom w:w="57" w:type="dxa"/>
            </w:tcMar>
          </w:tcPr>
          <w:p w:rsidR="00325A20" w:rsidRPr="00F80FB5" w:rsidRDefault="00325A20" w:rsidP="00FB3204">
            <w:pPr>
              <w:spacing w:line="276" w:lineRule="auto"/>
              <w:rPr>
                <w:rFonts w:asciiTheme="majorHAnsi" w:hAnsiTheme="majorHAnsi" w:cs="Times New Roman"/>
                <w:sz w:val="16"/>
                <w:szCs w:val="16"/>
              </w:rPr>
            </w:pPr>
          </w:p>
        </w:tc>
      </w:tr>
      <w:tr w:rsidR="00057EBF" w:rsidRPr="00F80FB5" w:rsidTr="00D26613">
        <w:tc>
          <w:tcPr>
            <w:tcW w:w="14765" w:type="dxa"/>
            <w:gridSpan w:val="9"/>
            <w:shd w:val="clear" w:color="auto" w:fill="F2F2F2" w:themeFill="background1" w:themeFillShade="F2"/>
            <w:tcMar>
              <w:top w:w="57" w:type="dxa"/>
              <w:bottom w:w="57" w:type="dxa"/>
            </w:tcMar>
          </w:tcPr>
          <w:p w:rsidR="00057EBF" w:rsidRDefault="008354CD" w:rsidP="008354CD">
            <w:pPr>
              <w:tabs>
                <w:tab w:val="left" w:pos="1574"/>
              </w:tabs>
              <w:spacing w:line="276" w:lineRule="auto"/>
              <w:ind w:left="592"/>
              <w:rPr>
                <w:rFonts w:ascii="Arial" w:hAnsi="Arial" w:cs="Arial"/>
                <w:b/>
                <w:lang w:val="en-US" w:eastAsia="x-none"/>
              </w:rPr>
            </w:pPr>
            <w:r>
              <w:rPr>
                <w:rFonts w:ascii="Arial" w:hAnsi="Arial" w:cs="Arial"/>
                <w:b/>
                <w:lang w:val="en-US" w:eastAsia="x-none"/>
              </w:rPr>
              <w:lastRenderedPageBreak/>
              <w:t xml:space="preserve">2. </w:t>
            </w:r>
            <w:r w:rsidR="00325A20" w:rsidRPr="008354CD">
              <w:rPr>
                <w:rFonts w:ascii="Arial" w:hAnsi="Arial" w:cs="Arial"/>
                <w:b/>
                <w:lang w:val="en-US" w:eastAsia="x-none"/>
              </w:rPr>
              <w:t>Interconnection between Appraisal and Appointment, Transfer, Promotion and Disciplinary Rules</w:t>
            </w:r>
          </w:p>
          <w:p w:rsidR="00043DE2" w:rsidRPr="00043DE2" w:rsidRDefault="00043DE2" w:rsidP="00043DE2">
            <w:pPr>
              <w:tabs>
                <w:tab w:val="left" w:pos="1574"/>
              </w:tabs>
              <w:spacing w:line="276" w:lineRule="auto"/>
              <w:ind w:left="592"/>
              <w:rPr>
                <w:rFonts w:ascii="Arial" w:hAnsi="Arial" w:cs="Arial"/>
                <w:b/>
                <w:lang w:val="hr-HR" w:eastAsia="x-none"/>
              </w:rPr>
            </w:pPr>
            <w:r>
              <w:rPr>
                <w:rFonts w:ascii="Arial" w:hAnsi="Arial" w:cs="Arial"/>
                <w:b/>
                <w:lang w:val="hr-HR" w:eastAsia="x-none"/>
              </w:rPr>
              <w:t xml:space="preserve">2. </w:t>
            </w:r>
            <w:r w:rsidRPr="00043DE2">
              <w:rPr>
                <w:rFonts w:ascii="Arial" w:hAnsi="Arial" w:cs="Arial"/>
                <w:b/>
                <w:lang w:val="hr-HR" w:eastAsia="x-none"/>
              </w:rPr>
              <w:t>Međusobna povezanost ocjenjivanja i imenovanja, premještanja, napredovanja i pravila disciplinskog postupka</w:t>
            </w:r>
          </w:p>
        </w:tc>
      </w:tr>
      <w:tr w:rsidR="00DF613E" w:rsidRPr="00F80FB5" w:rsidTr="00C37C1C">
        <w:tc>
          <w:tcPr>
            <w:tcW w:w="627" w:type="dxa"/>
            <w:gridSpan w:val="2"/>
            <w:tcMar>
              <w:top w:w="57" w:type="dxa"/>
              <w:bottom w:w="57" w:type="dxa"/>
            </w:tcMar>
          </w:tcPr>
          <w:p w:rsidR="00DF613E" w:rsidRPr="00F80FB5" w:rsidRDefault="009408C2" w:rsidP="00FB3204">
            <w:pPr>
              <w:spacing w:line="276" w:lineRule="auto"/>
              <w:rPr>
                <w:rFonts w:asciiTheme="majorHAnsi" w:hAnsiTheme="majorHAnsi" w:cs="Times New Roman"/>
                <w:sz w:val="16"/>
                <w:szCs w:val="16"/>
              </w:rPr>
            </w:pPr>
            <w:r>
              <w:rPr>
                <w:rFonts w:asciiTheme="majorHAnsi" w:hAnsiTheme="majorHAnsi" w:cs="Times New Roman"/>
                <w:sz w:val="16"/>
                <w:szCs w:val="16"/>
              </w:rPr>
              <w:t>6</w:t>
            </w:r>
          </w:p>
        </w:tc>
        <w:tc>
          <w:tcPr>
            <w:tcW w:w="5889" w:type="dxa"/>
            <w:gridSpan w:val="2"/>
            <w:tcMar>
              <w:top w:w="57" w:type="dxa"/>
              <w:bottom w:w="57" w:type="dxa"/>
            </w:tcMar>
          </w:tcPr>
          <w:p w:rsidR="00DF613E" w:rsidRPr="00E9366D" w:rsidRDefault="00E9366D" w:rsidP="00120B7B">
            <w:pPr>
              <w:spacing w:line="276" w:lineRule="auto"/>
              <w:jc w:val="both"/>
              <w:rPr>
                <w:rFonts w:ascii="Arial" w:hAnsi="Arial" w:cs="Arial"/>
                <w:lang w:eastAsia="x-none"/>
              </w:rPr>
            </w:pPr>
            <w:r w:rsidRPr="00E9366D">
              <w:rPr>
                <w:rFonts w:ascii="Arial" w:hAnsi="Arial" w:cs="Arial"/>
                <w:lang w:eastAsia="x-none"/>
              </w:rPr>
              <w:t xml:space="preserve">The High Judicial and Prosecutorial Council should reinforce the mechanisms of correlation between the different stages of a judicial career. </w:t>
            </w:r>
          </w:p>
        </w:tc>
        <w:tc>
          <w:tcPr>
            <w:tcW w:w="5783" w:type="dxa"/>
            <w:tcMar>
              <w:top w:w="57" w:type="dxa"/>
              <w:bottom w:w="57" w:type="dxa"/>
            </w:tcMar>
          </w:tcPr>
          <w:p w:rsidR="00DF613E" w:rsidRPr="00D52EB0" w:rsidRDefault="00043DE2" w:rsidP="00120B7B">
            <w:pPr>
              <w:spacing w:line="276" w:lineRule="auto"/>
              <w:jc w:val="both"/>
              <w:rPr>
                <w:rFonts w:ascii="Arial" w:eastAsia="Times New Roman" w:hAnsi="Arial" w:cs="Arial"/>
                <w:lang w:val="hr-HR" w:eastAsia="x-none"/>
              </w:rPr>
            </w:pPr>
            <w:r w:rsidRPr="00043DE2">
              <w:rPr>
                <w:rFonts w:ascii="Arial" w:eastAsia="Times New Roman" w:hAnsi="Arial" w:cs="Arial"/>
                <w:lang w:val="hr-HR" w:eastAsia="x-none"/>
              </w:rPr>
              <w:t xml:space="preserve">Visoko sudsko i tužilačko vijeće bi trebalo ojačati mehanizme međusobne povezanosti različitih faza karijere u pravosuđu.  </w:t>
            </w:r>
          </w:p>
        </w:tc>
        <w:tc>
          <w:tcPr>
            <w:tcW w:w="2466" w:type="dxa"/>
            <w:gridSpan w:val="4"/>
            <w:tcMar>
              <w:top w:w="57" w:type="dxa"/>
              <w:bottom w:w="57" w:type="dxa"/>
            </w:tcMar>
          </w:tcPr>
          <w:p w:rsidR="00DF613E" w:rsidRPr="00F80FB5" w:rsidRDefault="00DF613E" w:rsidP="00FB3204">
            <w:pPr>
              <w:spacing w:line="276" w:lineRule="auto"/>
              <w:rPr>
                <w:rFonts w:asciiTheme="majorHAnsi" w:hAnsiTheme="majorHAnsi" w:cs="Times New Roman"/>
                <w:sz w:val="16"/>
                <w:szCs w:val="16"/>
              </w:rPr>
            </w:pPr>
          </w:p>
        </w:tc>
      </w:tr>
      <w:tr w:rsidR="00120B7B" w:rsidRPr="00F80FB5" w:rsidTr="00C37C1C">
        <w:tc>
          <w:tcPr>
            <w:tcW w:w="627" w:type="dxa"/>
            <w:gridSpan w:val="2"/>
            <w:tcMar>
              <w:top w:w="57" w:type="dxa"/>
              <w:bottom w:w="57" w:type="dxa"/>
            </w:tcMar>
          </w:tcPr>
          <w:p w:rsidR="00120B7B" w:rsidRDefault="00120B7B" w:rsidP="00FB3204">
            <w:pPr>
              <w:spacing w:line="276" w:lineRule="auto"/>
              <w:rPr>
                <w:rFonts w:asciiTheme="majorHAnsi" w:hAnsiTheme="majorHAnsi" w:cs="Times New Roman"/>
                <w:sz w:val="16"/>
                <w:szCs w:val="16"/>
              </w:rPr>
            </w:pPr>
            <w:r>
              <w:rPr>
                <w:rFonts w:asciiTheme="majorHAnsi" w:hAnsiTheme="majorHAnsi" w:cs="Times New Roman"/>
                <w:sz w:val="16"/>
                <w:szCs w:val="16"/>
              </w:rPr>
              <w:t>7</w:t>
            </w:r>
          </w:p>
        </w:tc>
        <w:tc>
          <w:tcPr>
            <w:tcW w:w="5889" w:type="dxa"/>
            <w:gridSpan w:val="2"/>
            <w:tcMar>
              <w:top w:w="57" w:type="dxa"/>
              <w:bottom w:w="57" w:type="dxa"/>
            </w:tcMar>
          </w:tcPr>
          <w:p w:rsidR="00120B7B" w:rsidRPr="00E9366D" w:rsidRDefault="00120B7B" w:rsidP="00E9366D">
            <w:pPr>
              <w:spacing w:line="276" w:lineRule="auto"/>
              <w:jc w:val="both"/>
              <w:rPr>
                <w:rFonts w:ascii="Arial" w:hAnsi="Arial" w:cs="Arial"/>
                <w:lang w:eastAsia="x-none"/>
              </w:rPr>
            </w:pPr>
            <w:r w:rsidRPr="00E9366D">
              <w:rPr>
                <w:rFonts w:ascii="Arial" w:hAnsi="Arial" w:cs="Arial"/>
                <w:lang w:eastAsia="x-none"/>
              </w:rPr>
              <w:t xml:space="preserve">The appraisal procedure </w:t>
            </w:r>
            <w:r>
              <w:rPr>
                <w:rFonts w:ascii="Arial" w:hAnsi="Arial" w:cs="Arial"/>
                <w:lang w:eastAsia="x-none"/>
              </w:rPr>
              <w:t xml:space="preserve">must be interconnected with the </w:t>
            </w:r>
            <w:r w:rsidRPr="00E9366D">
              <w:rPr>
                <w:rFonts w:ascii="Arial" w:hAnsi="Arial" w:cs="Arial"/>
                <w:lang w:eastAsia="x-none"/>
              </w:rPr>
              <w:t>disciplinary procedure imposing that the most</w:t>
            </w:r>
            <w:r>
              <w:rPr>
                <w:rFonts w:ascii="Arial" w:hAnsi="Arial" w:cs="Arial"/>
                <w:lang w:eastAsia="x-none"/>
              </w:rPr>
              <w:t xml:space="preserve"> </w:t>
            </w:r>
            <w:r w:rsidRPr="00E9366D">
              <w:rPr>
                <w:rFonts w:ascii="Arial" w:hAnsi="Arial" w:cs="Arial"/>
                <w:lang w:eastAsia="x-none"/>
              </w:rPr>
              <w:t>negative grade establishes the opening of an</w:t>
            </w:r>
            <w:r>
              <w:rPr>
                <w:rFonts w:ascii="Arial" w:hAnsi="Arial" w:cs="Arial"/>
                <w:lang w:eastAsia="x-none"/>
              </w:rPr>
              <w:t xml:space="preserve"> </w:t>
            </w:r>
            <w:r w:rsidRPr="00E9366D">
              <w:rPr>
                <w:rFonts w:ascii="Arial" w:hAnsi="Arial" w:cs="Arial"/>
                <w:lang w:eastAsia="x-none"/>
              </w:rPr>
              <w:t>investigation leading to possible disciplinary measures.</w:t>
            </w:r>
          </w:p>
        </w:tc>
        <w:tc>
          <w:tcPr>
            <w:tcW w:w="5783" w:type="dxa"/>
            <w:tcMar>
              <w:top w:w="57" w:type="dxa"/>
              <w:bottom w:w="57" w:type="dxa"/>
            </w:tcMar>
          </w:tcPr>
          <w:p w:rsidR="00120B7B" w:rsidRPr="00043DE2" w:rsidRDefault="00120B7B" w:rsidP="00930AE6">
            <w:pPr>
              <w:spacing w:line="276" w:lineRule="auto"/>
              <w:jc w:val="both"/>
              <w:rPr>
                <w:rFonts w:ascii="Arial" w:eastAsia="Times New Roman" w:hAnsi="Arial" w:cs="Arial"/>
                <w:lang w:val="hr-HR" w:eastAsia="x-none"/>
              </w:rPr>
            </w:pPr>
            <w:r w:rsidRPr="00043DE2">
              <w:rPr>
                <w:rFonts w:ascii="Arial" w:eastAsia="Times New Roman" w:hAnsi="Arial" w:cs="Arial"/>
                <w:lang w:val="hr-HR" w:eastAsia="x-none"/>
              </w:rPr>
              <w:t>Postupak ocjenjivanja mora biti povezan sa disciplinskim postupkom na način da najniža ocjena predstavlja osnov za pokretanje istrage, koja u konačnici može dovesti do izricanja disciplinskih mjera.</w:t>
            </w:r>
          </w:p>
        </w:tc>
        <w:tc>
          <w:tcPr>
            <w:tcW w:w="2466" w:type="dxa"/>
            <w:gridSpan w:val="4"/>
            <w:tcMar>
              <w:top w:w="57" w:type="dxa"/>
              <w:bottom w:w="57" w:type="dxa"/>
            </w:tcMar>
          </w:tcPr>
          <w:p w:rsidR="00120B7B" w:rsidRPr="00F80FB5" w:rsidRDefault="00120B7B" w:rsidP="00FB3204">
            <w:pPr>
              <w:spacing w:line="276" w:lineRule="auto"/>
              <w:rPr>
                <w:rFonts w:asciiTheme="majorHAnsi" w:hAnsiTheme="majorHAnsi" w:cs="Times New Roman"/>
                <w:sz w:val="16"/>
                <w:szCs w:val="16"/>
              </w:rPr>
            </w:pPr>
          </w:p>
        </w:tc>
      </w:tr>
      <w:tr w:rsidR="00E9366D" w:rsidRPr="00F80FB5" w:rsidTr="00C37C1C">
        <w:tc>
          <w:tcPr>
            <w:tcW w:w="627" w:type="dxa"/>
            <w:gridSpan w:val="2"/>
            <w:tcMar>
              <w:top w:w="57" w:type="dxa"/>
              <w:bottom w:w="57" w:type="dxa"/>
            </w:tcMar>
          </w:tcPr>
          <w:p w:rsidR="00E9366D" w:rsidRDefault="00120B7B" w:rsidP="00FB3204">
            <w:pPr>
              <w:spacing w:line="276" w:lineRule="auto"/>
              <w:rPr>
                <w:rFonts w:asciiTheme="majorHAnsi" w:hAnsiTheme="majorHAnsi" w:cs="Times New Roman"/>
                <w:sz w:val="16"/>
                <w:szCs w:val="16"/>
              </w:rPr>
            </w:pPr>
            <w:r>
              <w:rPr>
                <w:rFonts w:asciiTheme="majorHAnsi" w:hAnsiTheme="majorHAnsi" w:cs="Times New Roman"/>
                <w:sz w:val="16"/>
                <w:szCs w:val="16"/>
              </w:rPr>
              <w:t>8</w:t>
            </w:r>
          </w:p>
        </w:tc>
        <w:tc>
          <w:tcPr>
            <w:tcW w:w="5889" w:type="dxa"/>
            <w:gridSpan w:val="2"/>
            <w:tcMar>
              <w:top w:w="57" w:type="dxa"/>
              <w:bottom w:w="57" w:type="dxa"/>
            </w:tcMar>
          </w:tcPr>
          <w:p w:rsidR="00E9366D" w:rsidRPr="00E9366D" w:rsidRDefault="00E9366D" w:rsidP="00E9366D">
            <w:pPr>
              <w:spacing w:line="276" w:lineRule="auto"/>
              <w:jc w:val="both"/>
              <w:rPr>
                <w:rFonts w:ascii="Arial" w:hAnsi="Arial" w:cs="Arial"/>
                <w:lang w:eastAsia="x-none"/>
              </w:rPr>
            </w:pPr>
            <w:r w:rsidRPr="00E9366D">
              <w:rPr>
                <w:rFonts w:ascii="Arial" w:hAnsi="Arial" w:cs="Arial"/>
                <w:lang w:eastAsia="x-none"/>
              </w:rPr>
              <w:t xml:space="preserve">The reform of the appointment procedure should be enacted in coordination with the evaluation of magistrates. Seniority, especially as magistrate,  should be mandatory to obtain a promotion for superior courts and also to obtain a horizontal transfer in the sense that a minimum number of years of service are necessary to apply for a vacancy. </w:t>
            </w:r>
          </w:p>
        </w:tc>
        <w:tc>
          <w:tcPr>
            <w:tcW w:w="5783" w:type="dxa"/>
            <w:tcMar>
              <w:top w:w="57" w:type="dxa"/>
              <w:bottom w:w="57" w:type="dxa"/>
            </w:tcMar>
          </w:tcPr>
          <w:p w:rsidR="00E9366D" w:rsidRPr="00D52EB0" w:rsidRDefault="00043DE2" w:rsidP="00D07AA6">
            <w:pPr>
              <w:spacing w:line="276" w:lineRule="auto"/>
              <w:jc w:val="both"/>
              <w:rPr>
                <w:rFonts w:ascii="Arial" w:eastAsia="Times New Roman" w:hAnsi="Arial" w:cs="Arial"/>
                <w:lang w:val="hr-HR" w:eastAsia="x-none"/>
              </w:rPr>
            </w:pPr>
            <w:r w:rsidRPr="00043DE2">
              <w:rPr>
                <w:rFonts w:ascii="Arial" w:hAnsi="Arial" w:cs="Arial"/>
                <w:lang w:eastAsia="x-none"/>
              </w:rPr>
              <w:t>Reforma postupka imenovanja se treba provesti u koordinaciji sa ocjenjivanjem nosilaca pravosudnih funkcija. Godine staža, posebno na pravosudnoj funkciji  bi trebale biti obavezne za napredovanje na više sudove, ali i horizontalno premještanje u smislu da se zahtijeva minimalan broj godina staža kao uslov za prijavu na konkurs.</w:t>
            </w:r>
            <w:r w:rsidRPr="00043DE2">
              <w:rPr>
                <w:rFonts w:ascii="Arial" w:eastAsia="Times New Roman" w:hAnsi="Arial" w:cs="Arial"/>
                <w:lang w:val="hr-HR" w:eastAsia="x-none"/>
              </w:rPr>
              <w:t xml:space="preserve"> </w:t>
            </w:r>
          </w:p>
        </w:tc>
        <w:tc>
          <w:tcPr>
            <w:tcW w:w="2466" w:type="dxa"/>
            <w:gridSpan w:val="4"/>
            <w:tcMar>
              <w:top w:w="57" w:type="dxa"/>
              <w:bottom w:w="57" w:type="dxa"/>
            </w:tcMar>
          </w:tcPr>
          <w:p w:rsidR="00E9366D" w:rsidRPr="00F80FB5" w:rsidRDefault="00E9366D" w:rsidP="00FB3204">
            <w:pPr>
              <w:spacing w:line="276" w:lineRule="auto"/>
              <w:rPr>
                <w:rFonts w:asciiTheme="majorHAnsi" w:hAnsiTheme="majorHAnsi" w:cs="Times New Roman"/>
                <w:sz w:val="16"/>
                <w:szCs w:val="16"/>
              </w:rPr>
            </w:pPr>
          </w:p>
        </w:tc>
      </w:tr>
      <w:tr w:rsidR="00E9366D" w:rsidRPr="00F80FB5" w:rsidTr="00C37C1C">
        <w:tc>
          <w:tcPr>
            <w:tcW w:w="627" w:type="dxa"/>
            <w:gridSpan w:val="2"/>
            <w:tcMar>
              <w:top w:w="57" w:type="dxa"/>
              <w:bottom w:w="57" w:type="dxa"/>
            </w:tcMar>
          </w:tcPr>
          <w:p w:rsidR="00E9366D" w:rsidRDefault="00120B7B" w:rsidP="00FB3204">
            <w:pPr>
              <w:spacing w:line="276" w:lineRule="auto"/>
              <w:rPr>
                <w:rFonts w:asciiTheme="majorHAnsi" w:hAnsiTheme="majorHAnsi" w:cs="Times New Roman"/>
                <w:sz w:val="16"/>
                <w:szCs w:val="16"/>
              </w:rPr>
            </w:pPr>
            <w:r>
              <w:rPr>
                <w:rFonts w:asciiTheme="majorHAnsi" w:hAnsiTheme="majorHAnsi" w:cs="Times New Roman"/>
                <w:sz w:val="16"/>
                <w:szCs w:val="16"/>
              </w:rPr>
              <w:t>9</w:t>
            </w:r>
          </w:p>
        </w:tc>
        <w:tc>
          <w:tcPr>
            <w:tcW w:w="5889" w:type="dxa"/>
            <w:gridSpan w:val="2"/>
            <w:tcMar>
              <w:top w:w="57" w:type="dxa"/>
              <w:bottom w:w="57" w:type="dxa"/>
            </w:tcMar>
          </w:tcPr>
          <w:p w:rsidR="00E9366D" w:rsidRPr="00E9366D" w:rsidRDefault="00E9366D" w:rsidP="00E9366D">
            <w:pPr>
              <w:spacing w:line="276" w:lineRule="auto"/>
              <w:jc w:val="both"/>
              <w:rPr>
                <w:rFonts w:ascii="Arial" w:hAnsi="Arial" w:cs="Arial"/>
                <w:lang w:eastAsia="x-none"/>
              </w:rPr>
            </w:pPr>
            <w:r w:rsidRPr="00E9366D">
              <w:rPr>
                <w:rFonts w:ascii="Arial" w:hAnsi="Arial" w:cs="Arial"/>
                <w:lang w:eastAsia="x-none"/>
              </w:rPr>
              <w:t>The concept of judicial career for judges and prosecutors must be reinforced. Therefore a reform on the appraisal system should be implemented on a systemic and harmonic manner in close connection with the foreseen reforms on appointment system especially those proposing a simplified procedure for horizontal transfers, and a tailored procedure to select judicial office holders for managerial and semi-</w:t>
            </w:r>
            <w:r w:rsidRPr="00E9366D">
              <w:rPr>
                <w:rFonts w:ascii="Arial" w:hAnsi="Arial" w:cs="Arial"/>
                <w:lang w:eastAsia="x-none"/>
              </w:rPr>
              <w:lastRenderedPageBreak/>
              <w:t>managerial positions which should be attributed to candidates from the same Court or Prosecutor Office.</w:t>
            </w:r>
          </w:p>
        </w:tc>
        <w:tc>
          <w:tcPr>
            <w:tcW w:w="5783" w:type="dxa"/>
            <w:tcMar>
              <w:top w:w="57" w:type="dxa"/>
              <w:bottom w:w="57" w:type="dxa"/>
            </w:tcMar>
          </w:tcPr>
          <w:p w:rsidR="00E9366D" w:rsidRPr="00D52EB0" w:rsidRDefault="00043DE2" w:rsidP="00D07AA6">
            <w:pPr>
              <w:spacing w:line="276" w:lineRule="auto"/>
              <w:jc w:val="both"/>
              <w:rPr>
                <w:rFonts w:ascii="Arial" w:eastAsia="Times New Roman" w:hAnsi="Arial" w:cs="Arial"/>
                <w:lang w:val="hr-HR" w:eastAsia="x-none"/>
              </w:rPr>
            </w:pPr>
            <w:r w:rsidRPr="00043DE2">
              <w:rPr>
                <w:rFonts w:ascii="Arial" w:eastAsia="Times New Roman" w:hAnsi="Arial" w:cs="Arial"/>
                <w:lang w:val="hr-HR" w:eastAsia="x-none"/>
              </w:rPr>
              <w:lastRenderedPageBreak/>
              <w:t xml:space="preserve">Koncept pravosudne karijere za sudije i tužioce mora biti ojačan. Stoga, reforma sistema ocjenjivanja mora biti provedena na sistematičan i harmoničan način i u tijesnoj koordinaciji sa predviđenim izmjenama sistema za imenovanje, posebno onih izmjena koje se odnose na pojednostavljenu proceduru za horizontalna premještanja, te prilagođeni postupak za odabir nosilaca pravosudnih funkcija za </w:t>
            </w:r>
            <w:r w:rsidRPr="00043DE2">
              <w:rPr>
                <w:rFonts w:ascii="Arial" w:eastAsia="Times New Roman" w:hAnsi="Arial" w:cs="Arial"/>
                <w:lang w:val="hr-HR" w:eastAsia="x-none"/>
              </w:rPr>
              <w:lastRenderedPageBreak/>
              <w:t>menadžerske i polu-menadžerske pozicije, na koje se postavljaju kandidati iz istog suda ili tužilaštva.</w:t>
            </w:r>
          </w:p>
        </w:tc>
        <w:tc>
          <w:tcPr>
            <w:tcW w:w="2466" w:type="dxa"/>
            <w:gridSpan w:val="4"/>
            <w:tcMar>
              <w:top w:w="57" w:type="dxa"/>
              <w:bottom w:w="57" w:type="dxa"/>
            </w:tcMar>
          </w:tcPr>
          <w:p w:rsidR="00E9366D" w:rsidRPr="00F80FB5" w:rsidRDefault="00E9366D" w:rsidP="00FB3204">
            <w:pPr>
              <w:spacing w:line="276" w:lineRule="auto"/>
              <w:rPr>
                <w:rFonts w:asciiTheme="majorHAnsi" w:hAnsiTheme="majorHAnsi" w:cs="Times New Roman"/>
                <w:sz w:val="16"/>
                <w:szCs w:val="16"/>
              </w:rPr>
            </w:pPr>
          </w:p>
        </w:tc>
      </w:tr>
      <w:tr w:rsidR="00D435D4" w:rsidRPr="00F80FB5" w:rsidTr="00D26613">
        <w:tc>
          <w:tcPr>
            <w:tcW w:w="14765" w:type="dxa"/>
            <w:gridSpan w:val="9"/>
            <w:shd w:val="clear" w:color="auto" w:fill="F2F2F2" w:themeFill="background1" w:themeFillShade="F2"/>
            <w:tcMar>
              <w:top w:w="57" w:type="dxa"/>
              <w:bottom w:w="57" w:type="dxa"/>
            </w:tcMar>
          </w:tcPr>
          <w:p w:rsidR="00043DE2" w:rsidRPr="00E9366D" w:rsidRDefault="00E9366D" w:rsidP="00D07AA6">
            <w:pPr>
              <w:spacing w:line="276" w:lineRule="auto"/>
              <w:ind w:left="592"/>
              <w:rPr>
                <w:rFonts w:ascii="Arial" w:hAnsi="Arial" w:cs="Arial"/>
                <w:b/>
                <w:lang w:eastAsia="x-none"/>
              </w:rPr>
            </w:pPr>
            <w:r>
              <w:rPr>
                <w:rFonts w:ascii="Arial" w:hAnsi="Arial" w:cs="Arial"/>
                <w:b/>
                <w:lang w:eastAsia="x-none"/>
              </w:rPr>
              <w:t>3</w:t>
            </w:r>
            <w:r w:rsidRPr="00E9366D">
              <w:rPr>
                <w:rFonts w:ascii="Arial" w:hAnsi="Arial" w:cs="Arial"/>
                <w:b/>
                <w:lang w:eastAsia="x-none"/>
              </w:rPr>
              <w:t>. Implementation Quality Criteria</w:t>
            </w:r>
            <w:r w:rsidR="00043DE2">
              <w:rPr>
                <w:rFonts w:ascii="Arial" w:hAnsi="Arial" w:cs="Arial"/>
                <w:b/>
                <w:lang w:eastAsia="x-none"/>
              </w:rPr>
              <w:t xml:space="preserve">                                    Primjena kriterija kvalitete</w:t>
            </w:r>
          </w:p>
        </w:tc>
      </w:tr>
      <w:tr w:rsidR="00D435D4" w:rsidRPr="00F80FB5" w:rsidTr="00C37C1C">
        <w:tc>
          <w:tcPr>
            <w:tcW w:w="627" w:type="dxa"/>
            <w:gridSpan w:val="2"/>
            <w:tcMar>
              <w:top w:w="57" w:type="dxa"/>
              <w:bottom w:w="57" w:type="dxa"/>
            </w:tcMar>
          </w:tcPr>
          <w:p w:rsidR="00120B7B" w:rsidRDefault="00120B7B" w:rsidP="00FB3204">
            <w:pPr>
              <w:spacing w:line="276" w:lineRule="auto"/>
              <w:rPr>
                <w:rFonts w:asciiTheme="majorHAnsi" w:hAnsiTheme="majorHAnsi" w:cs="Times New Roman"/>
                <w:sz w:val="16"/>
                <w:szCs w:val="16"/>
              </w:rPr>
            </w:pPr>
          </w:p>
          <w:p w:rsidR="00D435D4" w:rsidRDefault="00120B7B" w:rsidP="00FB3204">
            <w:pPr>
              <w:spacing w:line="276" w:lineRule="auto"/>
              <w:rPr>
                <w:rFonts w:asciiTheme="majorHAnsi" w:hAnsiTheme="majorHAnsi" w:cs="Times New Roman"/>
                <w:sz w:val="16"/>
                <w:szCs w:val="16"/>
              </w:rPr>
            </w:pPr>
            <w:r>
              <w:rPr>
                <w:rFonts w:asciiTheme="majorHAnsi" w:hAnsiTheme="majorHAnsi" w:cs="Times New Roman"/>
                <w:sz w:val="16"/>
                <w:szCs w:val="16"/>
              </w:rPr>
              <w:t>10</w:t>
            </w:r>
          </w:p>
        </w:tc>
        <w:tc>
          <w:tcPr>
            <w:tcW w:w="5889" w:type="dxa"/>
            <w:gridSpan w:val="2"/>
            <w:tcMar>
              <w:top w:w="57" w:type="dxa"/>
              <w:bottom w:w="57" w:type="dxa"/>
            </w:tcMar>
          </w:tcPr>
          <w:p w:rsidR="00E9366D"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 xml:space="preserve">Quality criteria must be reinforced in the appraisal system. Evaluators must assess the quality of the work provided especially of judicial decisions – rulings or indictments - and decide on the concrete quality of their conclusions. </w:t>
            </w:r>
          </w:p>
          <w:p w:rsidR="00E9366D"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Therefore the evaluation of the quality of the decisions should focus on:</w:t>
            </w:r>
          </w:p>
          <w:p w:rsidR="00E9366D"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 The formal adequacy;</w:t>
            </w:r>
          </w:p>
          <w:p w:rsidR="00E9366D" w:rsidRPr="00043DE2" w:rsidRDefault="00E9366D" w:rsidP="00E9366D">
            <w:pPr>
              <w:spacing w:line="276" w:lineRule="auto"/>
              <w:jc w:val="both"/>
              <w:rPr>
                <w:rFonts w:ascii="Arial" w:hAnsi="Arial" w:cs="Arial"/>
                <w:bCs/>
                <w:lang w:eastAsia="x-none"/>
              </w:rPr>
            </w:pPr>
            <w:r w:rsidRPr="00E9366D">
              <w:rPr>
                <w:rFonts w:ascii="Arial" w:hAnsi="Arial" w:cs="Arial"/>
                <w:bCs/>
                <w:lang w:eastAsia="x-none"/>
              </w:rPr>
              <w:t>- The ability to establish the facts of the case;</w:t>
            </w:r>
          </w:p>
          <w:p w:rsidR="00E9366D"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 The juridical level of the decisions, namely the legal, jurisprudential and academic knowledge revealed through them;</w:t>
            </w:r>
          </w:p>
          <w:p w:rsidR="00E9366D" w:rsidRPr="00E9366D" w:rsidRDefault="00E9366D" w:rsidP="00E9366D">
            <w:pPr>
              <w:spacing w:line="276" w:lineRule="auto"/>
              <w:jc w:val="both"/>
              <w:rPr>
                <w:rFonts w:ascii="Arial" w:hAnsi="Arial" w:cs="Arial"/>
                <w:bCs/>
                <w:lang w:eastAsia="x-none"/>
              </w:rPr>
            </w:pPr>
            <w:r w:rsidRPr="00E9366D">
              <w:rPr>
                <w:rFonts w:ascii="Arial" w:hAnsi="Arial" w:cs="Arial"/>
                <w:bCs/>
                <w:lang w:eastAsia="x-none"/>
              </w:rPr>
              <w:t>- The ability to solve complex cases;</w:t>
            </w:r>
          </w:p>
          <w:p w:rsidR="00930AE6"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 The capacity to convince based on the consistency of the arguments used in the reasoning of the decisions, with particular emphasis on the original ones;</w:t>
            </w:r>
          </w:p>
          <w:p w:rsidR="00E9366D"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 The speediness with which the decisions are delivered and the compliance with legal deadlines;</w:t>
            </w:r>
          </w:p>
          <w:p w:rsidR="00E9366D"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 xml:space="preserve">The evaluation of the quality of the judicial/prosecutorial work should also focus on: </w:t>
            </w:r>
          </w:p>
          <w:p w:rsidR="00E9366D" w:rsidRPr="00043DE2" w:rsidRDefault="00E9366D" w:rsidP="00E9366D">
            <w:pPr>
              <w:spacing w:line="276" w:lineRule="auto"/>
              <w:jc w:val="both"/>
              <w:rPr>
                <w:rFonts w:ascii="Arial" w:hAnsi="Arial" w:cs="Arial"/>
                <w:bCs/>
                <w:lang w:eastAsia="x-none"/>
              </w:rPr>
            </w:pPr>
            <w:r w:rsidRPr="00043DE2">
              <w:rPr>
                <w:rFonts w:ascii="Arial" w:hAnsi="Arial" w:cs="Arial"/>
                <w:bCs/>
                <w:lang w:eastAsia="x-none"/>
              </w:rPr>
              <w:t>- The judge or prosecutor’s verbal skills.</w:t>
            </w:r>
          </w:p>
          <w:p w:rsidR="00E9366D" w:rsidRPr="00E9366D" w:rsidRDefault="00E9366D" w:rsidP="00E9366D">
            <w:pPr>
              <w:spacing w:line="276" w:lineRule="auto"/>
              <w:jc w:val="both"/>
              <w:rPr>
                <w:rFonts w:ascii="Arial" w:hAnsi="Arial" w:cs="Arial"/>
                <w:bCs/>
                <w:lang w:eastAsia="x-none"/>
              </w:rPr>
            </w:pPr>
            <w:r w:rsidRPr="00E9366D">
              <w:rPr>
                <w:rFonts w:ascii="Arial" w:hAnsi="Arial" w:cs="Arial"/>
                <w:bCs/>
                <w:lang w:eastAsia="x-none"/>
              </w:rPr>
              <w:t>- The ability to organise and efficiently conduct the proceedings;</w:t>
            </w:r>
          </w:p>
          <w:p w:rsidR="00FB3204" w:rsidRPr="00043DE2" w:rsidRDefault="00E9366D" w:rsidP="00FB3204">
            <w:pPr>
              <w:spacing w:line="276" w:lineRule="auto"/>
              <w:jc w:val="both"/>
              <w:rPr>
                <w:rFonts w:ascii="Arial" w:hAnsi="Arial" w:cs="Arial"/>
                <w:bCs/>
                <w:lang w:eastAsia="x-none"/>
              </w:rPr>
            </w:pPr>
            <w:r w:rsidRPr="00E9366D">
              <w:rPr>
                <w:rFonts w:ascii="Arial" w:hAnsi="Arial" w:cs="Arial"/>
                <w:bCs/>
                <w:lang w:eastAsia="x-none"/>
              </w:rPr>
              <w:lastRenderedPageBreak/>
              <w:t>- The readiness to take on extra activities within the court or PO administration (e.g. mentoring).</w:t>
            </w:r>
          </w:p>
        </w:tc>
        <w:tc>
          <w:tcPr>
            <w:tcW w:w="5783" w:type="dxa"/>
            <w:tcMar>
              <w:top w:w="57" w:type="dxa"/>
              <w:bottom w:w="57" w:type="dxa"/>
            </w:tcMar>
          </w:tcPr>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lastRenderedPageBreak/>
              <w:t xml:space="preserve">Potrebno je ojačati kriterije kvalitete u sistemu ocjenjivanja. Ocjenjivači moraju cijeniti kvalitet rada, a posebno kvalitet odluka i optužnica nosilaca pravosudnih funkcija – te na osnovu toga odlučiti konkretno o kvalitetu njihovih zaključaka. </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xml:space="preserve">Stoga, </w:t>
            </w:r>
            <w:r w:rsidR="005A3E97">
              <w:rPr>
                <w:rFonts w:ascii="Arial" w:hAnsi="Arial" w:cs="Arial"/>
                <w:bCs/>
                <w:lang w:eastAsia="x-none"/>
              </w:rPr>
              <w:t xml:space="preserve">prilikom </w:t>
            </w:r>
            <w:r w:rsidRPr="00043DE2">
              <w:rPr>
                <w:rFonts w:ascii="Arial" w:hAnsi="Arial" w:cs="Arial"/>
                <w:bCs/>
                <w:lang w:eastAsia="x-none"/>
              </w:rPr>
              <w:t>ocjen</w:t>
            </w:r>
            <w:r w:rsidR="005A3E97">
              <w:rPr>
                <w:rFonts w:ascii="Arial" w:hAnsi="Arial" w:cs="Arial"/>
                <w:bCs/>
                <w:lang w:eastAsia="x-none"/>
              </w:rPr>
              <w:t>e</w:t>
            </w:r>
            <w:r w:rsidRPr="00043DE2">
              <w:rPr>
                <w:rFonts w:ascii="Arial" w:hAnsi="Arial" w:cs="Arial"/>
                <w:bCs/>
                <w:lang w:eastAsia="x-none"/>
              </w:rPr>
              <w:t xml:space="preserve"> kvalitete odluka </w:t>
            </w:r>
            <w:r w:rsidR="005A3E97">
              <w:rPr>
                <w:rFonts w:ascii="Arial" w:hAnsi="Arial" w:cs="Arial"/>
                <w:bCs/>
                <w:lang w:eastAsia="x-none"/>
              </w:rPr>
              <w:t xml:space="preserve">potrebno je pažnju </w:t>
            </w:r>
            <w:r w:rsidRPr="00043DE2">
              <w:rPr>
                <w:rFonts w:ascii="Arial" w:hAnsi="Arial" w:cs="Arial"/>
                <w:bCs/>
                <w:lang w:eastAsia="x-none"/>
              </w:rPr>
              <w:t>us</w:t>
            </w:r>
            <w:r w:rsidR="005A3E97">
              <w:rPr>
                <w:rFonts w:ascii="Arial" w:hAnsi="Arial" w:cs="Arial"/>
                <w:bCs/>
                <w:lang w:eastAsia="x-none"/>
              </w:rPr>
              <w:t>mjeriti na sljedeće</w:t>
            </w:r>
            <w:r w:rsidRPr="00043DE2">
              <w:rPr>
                <w:rFonts w:ascii="Arial" w:hAnsi="Arial" w:cs="Arial"/>
                <w:bCs/>
                <w:lang w:eastAsia="x-none"/>
              </w:rPr>
              <w:t>:</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ispunjenost formalnih pretpostavki;</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sposobnost utvrđivanja predmetnih činjenica;</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stručni nivo odluk</w:t>
            </w:r>
            <w:r w:rsidR="00880498">
              <w:rPr>
                <w:rFonts w:ascii="Arial" w:hAnsi="Arial" w:cs="Arial"/>
                <w:bCs/>
                <w:lang w:eastAsia="x-none"/>
              </w:rPr>
              <w:t>e</w:t>
            </w:r>
            <w:r w:rsidRPr="00043DE2">
              <w:rPr>
                <w:rFonts w:ascii="Arial" w:hAnsi="Arial" w:cs="Arial"/>
                <w:bCs/>
                <w:lang w:eastAsia="x-none"/>
              </w:rPr>
              <w:t>, odnosno pokazano pravno i akademsko znanje i poznavanje sudske prakse kroz te odluke;</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sposobnost rješavanja kompleksnih predmeta;</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nivo uvjerljivosti na osnovu dosljedne argumentacije u obrazloženju odluka, sa posebnim naglaskom na originalnost;</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brzina donošenja odluk</w:t>
            </w:r>
            <w:r w:rsidR="00880498">
              <w:rPr>
                <w:rFonts w:ascii="Arial" w:hAnsi="Arial" w:cs="Arial"/>
                <w:bCs/>
                <w:lang w:eastAsia="x-none"/>
              </w:rPr>
              <w:t>e</w:t>
            </w:r>
            <w:r w:rsidRPr="00043DE2">
              <w:rPr>
                <w:rFonts w:ascii="Arial" w:hAnsi="Arial" w:cs="Arial"/>
                <w:bCs/>
                <w:lang w:eastAsia="x-none"/>
              </w:rPr>
              <w:t xml:space="preserve"> i poštivanje zakonskih rokova;</w:t>
            </w:r>
          </w:p>
          <w:p w:rsidR="00043DE2" w:rsidRPr="00880498" w:rsidRDefault="00043DE2" w:rsidP="00043DE2">
            <w:pPr>
              <w:spacing w:line="276" w:lineRule="auto"/>
              <w:jc w:val="both"/>
              <w:rPr>
                <w:rFonts w:ascii="Arial" w:hAnsi="Arial" w:cs="Arial"/>
                <w:bCs/>
                <w:lang w:val="hr-HR" w:eastAsia="x-none"/>
              </w:rPr>
            </w:pPr>
            <w:r w:rsidRPr="00880498">
              <w:rPr>
                <w:rFonts w:ascii="Arial" w:hAnsi="Arial" w:cs="Arial"/>
                <w:bCs/>
                <w:lang w:val="hr-HR" w:eastAsia="x-none"/>
              </w:rPr>
              <w:t xml:space="preserve">Ocjena kvalitete sudskog/tužilačkog rada bi takođe trebala </w:t>
            </w:r>
            <w:r w:rsidR="00880498" w:rsidRPr="00880498">
              <w:rPr>
                <w:rFonts w:ascii="Arial" w:hAnsi="Arial" w:cs="Arial"/>
                <w:bCs/>
                <w:lang w:val="hr-HR" w:eastAsia="x-none"/>
              </w:rPr>
              <w:t xml:space="preserve">obuhvatiti </w:t>
            </w:r>
            <w:r w:rsidRPr="00880498">
              <w:rPr>
                <w:rFonts w:ascii="Arial" w:hAnsi="Arial" w:cs="Arial"/>
                <w:bCs/>
                <w:lang w:val="hr-HR" w:eastAsia="x-none"/>
              </w:rPr>
              <w:t xml:space="preserve">sljedeće: </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verbalne vještine sudije ili tužioca.</w:t>
            </w:r>
          </w:p>
          <w:p w:rsidR="00043DE2" w:rsidRPr="00043DE2" w:rsidRDefault="00043DE2" w:rsidP="00043DE2">
            <w:pPr>
              <w:spacing w:line="276" w:lineRule="auto"/>
              <w:jc w:val="both"/>
              <w:rPr>
                <w:rFonts w:ascii="Arial" w:hAnsi="Arial" w:cs="Arial"/>
                <w:bCs/>
                <w:lang w:eastAsia="x-none"/>
              </w:rPr>
            </w:pPr>
            <w:r w:rsidRPr="00043DE2">
              <w:rPr>
                <w:rFonts w:ascii="Arial" w:hAnsi="Arial" w:cs="Arial"/>
                <w:bCs/>
                <w:lang w:eastAsia="x-none"/>
              </w:rPr>
              <w:t>- sposobnost organizacije i efikasnog vođenja postupka;</w:t>
            </w:r>
          </w:p>
          <w:p w:rsidR="00E9366D" w:rsidRPr="00043DE2" w:rsidRDefault="00043DE2" w:rsidP="00880498">
            <w:pPr>
              <w:spacing w:line="276" w:lineRule="auto"/>
              <w:jc w:val="both"/>
              <w:rPr>
                <w:rFonts w:ascii="Arial" w:hAnsi="Arial" w:cs="Arial"/>
                <w:bCs/>
                <w:lang w:eastAsia="x-none"/>
              </w:rPr>
            </w:pPr>
            <w:r w:rsidRPr="00043DE2">
              <w:rPr>
                <w:rFonts w:ascii="Arial" w:hAnsi="Arial" w:cs="Arial"/>
                <w:bCs/>
                <w:lang w:eastAsia="x-none"/>
              </w:rPr>
              <w:lastRenderedPageBreak/>
              <w:t xml:space="preserve">- spremnost </w:t>
            </w:r>
            <w:r w:rsidR="00880498">
              <w:rPr>
                <w:rFonts w:ascii="Arial" w:hAnsi="Arial" w:cs="Arial"/>
                <w:bCs/>
                <w:lang w:eastAsia="x-none"/>
              </w:rPr>
              <w:t xml:space="preserve">za </w:t>
            </w:r>
            <w:r w:rsidRPr="00043DE2">
              <w:rPr>
                <w:rFonts w:ascii="Arial" w:hAnsi="Arial" w:cs="Arial"/>
                <w:bCs/>
                <w:lang w:eastAsia="x-none"/>
              </w:rPr>
              <w:t>preuz</w:t>
            </w:r>
            <w:r w:rsidR="00880498">
              <w:rPr>
                <w:rFonts w:ascii="Arial" w:hAnsi="Arial" w:cs="Arial"/>
                <w:bCs/>
                <w:lang w:eastAsia="x-none"/>
              </w:rPr>
              <w:t xml:space="preserve">imanje </w:t>
            </w:r>
            <w:r w:rsidRPr="00043DE2">
              <w:rPr>
                <w:rFonts w:ascii="Arial" w:hAnsi="Arial" w:cs="Arial"/>
                <w:bCs/>
                <w:lang w:eastAsia="x-none"/>
              </w:rPr>
              <w:t>dodatn</w:t>
            </w:r>
            <w:r w:rsidR="00880498">
              <w:rPr>
                <w:rFonts w:ascii="Arial" w:hAnsi="Arial" w:cs="Arial"/>
                <w:bCs/>
                <w:lang w:eastAsia="x-none"/>
              </w:rPr>
              <w:t>ih</w:t>
            </w:r>
            <w:r w:rsidRPr="00043DE2">
              <w:rPr>
                <w:rFonts w:ascii="Arial" w:hAnsi="Arial" w:cs="Arial"/>
                <w:bCs/>
                <w:lang w:eastAsia="x-none"/>
              </w:rPr>
              <w:t xml:space="preserve"> aktivnosti upravljanja sudom ili tužilaštvom (npr. mentorstvo).</w:t>
            </w:r>
          </w:p>
        </w:tc>
        <w:tc>
          <w:tcPr>
            <w:tcW w:w="2466" w:type="dxa"/>
            <w:gridSpan w:val="4"/>
            <w:tcMar>
              <w:top w:w="57" w:type="dxa"/>
              <w:bottom w:w="57" w:type="dxa"/>
            </w:tcMar>
          </w:tcPr>
          <w:p w:rsidR="00D435D4" w:rsidRPr="00F80FB5" w:rsidRDefault="00D435D4" w:rsidP="00FB3204">
            <w:pPr>
              <w:spacing w:line="276" w:lineRule="auto"/>
              <w:rPr>
                <w:rFonts w:asciiTheme="majorHAnsi" w:hAnsiTheme="majorHAnsi"/>
                <w:sz w:val="16"/>
                <w:szCs w:val="16"/>
                <w:lang w:val="en-US" w:eastAsia="x-none"/>
              </w:rPr>
            </w:pPr>
          </w:p>
        </w:tc>
      </w:tr>
      <w:tr w:rsidR="00E9366D" w:rsidRPr="00F80FB5" w:rsidTr="00C37C1C">
        <w:tc>
          <w:tcPr>
            <w:tcW w:w="627" w:type="dxa"/>
            <w:gridSpan w:val="2"/>
            <w:tcMar>
              <w:top w:w="57" w:type="dxa"/>
              <w:bottom w:w="57" w:type="dxa"/>
            </w:tcMar>
          </w:tcPr>
          <w:p w:rsidR="00E9366D"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11</w:t>
            </w:r>
          </w:p>
        </w:tc>
        <w:tc>
          <w:tcPr>
            <w:tcW w:w="5889" w:type="dxa"/>
            <w:gridSpan w:val="2"/>
            <w:tcMar>
              <w:top w:w="57" w:type="dxa"/>
              <w:bottom w:w="57" w:type="dxa"/>
            </w:tcMar>
          </w:tcPr>
          <w:p w:rsidR="00E9366D" w:rsidRPr="00E9366D" w:rsidRDefault="00E9366D" w:rsidP="00E9366D">
            <w:pPr>
              <w:spacing w:line="276" w:lineRule="auto"/>
              <w:jc w:val="both"/>
              <w:rPr>
                <w:rFonts w:ascii="Arial" w:hAnsi="Arial" w:cs="Arial"/>
                <w:lang w:eastAsia="x-none"/>
              </w:rPr>
            </w:pPr>
            <w:r w:rsidRPr="00E9366D">
              <w:rPr>
                <w:rFonts w:ascii="Arial" w:hAnsi="Arial" w:cs="Arial"/>
                <w:lang w:eastAsia="x-none"/>
              </w:rPr>
              <w:t>“Reverse Ratio” can continue to be used but the evaluated judge or prosecutor can request that reversed decisions or acquittals will not be used for degrading the marks. These criteria only should be applied for cases that were amended or annulled on grounds of a substantial lack of legal reasoning or a qualified breach of law.</w:t>
            </w:r>
          </w:p>
        </w:tc>
        <w:tc>
          <w:tcPr>
            <w:tcW w:w="5783" w:type="dxa"/>
            <w:tcMar>
              <w:top w:w="57" w:type="dxa"/>
              <w:bottom w:w="57" w:type="dxa"/>
            </w:tcMar>
          </w:tcPr>
          <w:p w:rsidR="00E9366D" w:rsidRPr="00D07AA6" w:rsidRDefault="00043DE2" w:rsidP="00D07AA6">
            <w:pPr>
              <w:spacing w:line="276" w:lineRule="auto"/>
              <w:jc w:val="both"/>
              <w:rPr>
                <w:rFonts w:ascii="Arial" w:hAnsi="Arial" w:cs="Arial"/>
                <w:lang w:eastAsia="x-none"/>
              </w:rPr>
            </w:pPr>
            <w:r w:rsidRPr="00043DE2">
              <w:rPr>
                <w:rFonts w:ascii="Arial" w:hAnsi="Arial" w:cs="Arial"/>
                <w:lang w:eastAsia="x-none"/>
              </w:rPr>
              <w:t>“Procenat ukinutih odluka” se može i dalje koristiti, ali sudija ili tužilac koji se ocjenjuju mogu zatražiti da se ukinute ili oslobađajuće presude ne koriste za umanjenje ocjene. Ti kriteriji se samo trebaju primijeniti u slučaju kada je odluka preinačena ili ukinuta iz razloga suštinskog nedostatka pravnog obrazloženja ili povrede zakona.</w:t>
            </w:r>
          </w:p>
        </w:tc>
        <w:tc>
          <w:tcPr>
            <w:tcW w:w="2466" w:type="dxa"/>
            <w:gridSpan w:val="4"/>
            <w:tcMar>
              <w:top w:w="57" w:type="dxa"/>
              <w:bottom w:w="57" w:type="dxa"/>
            </w:tcMar>
          </w:tcPr>
          <w:p w:rsidR="00E9366D" w:rsidRPr="00F80FB5" w:rsidRDefault="00E9366D" w:rsidP="00FB3204">
            <w:pPr>
              <w:spacing w:line="276" w:lineRule="auto"/>
              <w:rPr>
                <w:rFonts w:asciiTheme="majorHAnsi" w:hAnsiTheme="majorHAnsi"/>
                <w:sz w:val="16"/>
                <w:szCs w:val="16"/>
                <w:lang w:val="en-US" w:eastAsia="x-none"/>
              </w:rPr>
            </w:pPr>
          </w:p>
        </w:tc>
      </w:tr>
      <w:tr w:rsidR="00E9366D" w:rsidRPr="00F80FB5" w:rsidTr="00C37C1C">
        <w:tc>
          <w:tcPr>
            <w:tcW w:w="627" w:type="dxa"/>
            <w:gridSpan w:val="2"/>
            <w:tcMar>
              <w:top w:w="57" w:type="dxa"/>
              <w:bottom w:w="57" w:type="dxa"/>
            </w:tcMar>
          </w:tcPr>
          <w:p w:rsidR="00E9366D"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12</w:t>
            </w:r>
          </w:p>
        </w:tc>
        <w:tc>
          <w:tcPr>
            <w:tcW w:w="5889" w:type="dxa"/>
            <w:gridSpan w:val="2"/>
            <w:tcMar>
              <w:top w:w="57" w:type="dxa"/>
              <w:bottom w:w="57" w:type="dxa"/>
            </w:tcMar>
          </w:tcPr>
          <w:p w:rsidR="00E9366D" w:rsidRPr="00E9366D" w:rsidRDefault="00E9366D" w:rsidP="00E9366D">
            <w:pPr>
              <w:spacing w:line="276" w:lineRule="auto"/>
              <w:jc w:val="both"/>
              <w:rPr>
                <w:rFonts w:ascii="Arial" w:hAnsi="Arial" w:cs="Arial"/>
                <w:lang w:eastAsia="x-none"/>
              </w:rPr>
            </w:pPr>
            <w:r w:rsidRPr="00E9366D">
              <w:rPr>
                <w:rFonts w:ascii="Arial" w:hAnsi="Arial" w:cs="Arial"/>
                <w:lang w:eastAsia="x-none"/>
              </w:rPr>
              <w:t>The impact of quality criteria on the appraisal should be increased significantly.</w:t>
            </w:r>
          </w:p>
        </w:tc>
        <w:tc>
          <w:tcPr>
            <w:tcW w:w="5783" w:type="dxa"/>
            <w:tcMar>
              <w:top w:w="57" w:type="dxa"/>
              <w:bottom w:w="57" w:type="dxa"/>
            </w:tcMar>
          </w:tcPr>
          <w:p w:rsidR="00E9366D" w:rsidRPr="00043DE2" w:rsidRDefault="00043DE2" w:rsidP="00880498">
            <w:pPr>
              <w:spacing w:line="276" w:lineRule="auto"/>
              <w:jc w:val="both"/>
              <w:rPr>
                <w:rFonts w:ascii="Arial" w:hAnsi="Arial" w:cs="Arial"/>
                <w:lang w:eastAsia="x-none"/>
              </w:rPr>
            </w:pPr>
            <w:r w:rsidRPr="00043DE2">
              <w:rPr>
                <w:rFonts w:ascii="Arial" w:hAnsi="Arial" w:cs="Arial"/>
                <w:lang w:eastAsia="x-none"/>
              </w:rPr>
              <w:t xml:space="preserve">Uticaj kriterija kvalitete na ocjenu treba </w:t>
            </w:r>
            <w:r w:rsidR="00880498">
              <w:rPr>
                <w:rFonts w:ascii="Arial" w:hAnsi="Arial" w:cs="Arial"/>
                <w:lang w:eastAsia="x-none"/>
              </w:rPr>
              <w:t>značajno povećati</w:t>
            </w:r>
            <w:r w:rsidRPr="00043DE2">
              <w:rPr>
                <w:rFonts w:ascii="Arial" w:hAnsi="Arial" w:cs="Arial"/>
                <w:lang w:eastAsia="x-none"/>
              </w:rPr>
              <w:t>.</w:t>
            </w:r>
          </w:p>
        </w:tc>
        <w:tc>
          <w:tcPr>
            <w:tcW w:w="2466" w:type="dxa"/>
            <w:gridSpan w:val="4"/>
            <w:tcMar>
              <w:top w:w="57" w:type="dxa"/>
              <w:bottom w:w="57" w:type="dxa"/>
            </w:tcMar>
          </w:tcPr>
          <w:p w:rsidR="00E9366D" w:rsidRPr="00F80FB5" w:rsidRDefault="00E9366D" w:rsidP="00FB3204">
            <w:pPr>
              <w:spacing w:line="276" w:lineRule="auto"/>
              <w:rPr>
                <w:rFonts w:asciiTheme="majorHAnsi" w:hAnsiTheme="majorHAnsi"/>
                <w:sz w:val="16"/>
                <w:szCs w:val="16"/>
                <w:lang w:val="en-US" w:eastAsia="x-none"/>
              </w:rPr>
            </w:pPr>
          </w:p>
        </w:tc>
      </w:tr>
      <w:tr w:rsidR="00D1235F" w:rsidRPr="00F80FB5" w:rsidTr="00D26613">
        <w:tc>
          <w:tcPr>
            <w:tcW w:w="14765" w:type="dxa"/>
            <w:gridSpan w:val="9"/>
            <w:shd w:val="clear" w:color="auto" w:fill="F2F2F2" w:themeFill="background1" w:themeFillShade="F2"/>
            <w:tcMar>
              <w:top w:w="57" w:type="dxa"/>
              <w:bottom w:w="57" w:type="dxa"/>
            </w:tcMar>
          </w:tcPr>
          <w:p w:rsidR="00D1235F" w:rsidRPr="00E9366D" w:rsidRDefault="00E9366D" w:rsidP="00043DE2">
            <w:pPr>
              <w:spacing w:line="276" w:lineRule="auto"/>
              <w:ind w:left="592"/>
              <w:rPr>
                <w:rFonts w:ascii="Arial" w:eastAsia="SimSun" w:hAnsi="Arial" w:cs="Arial"/>
                <w:b/>
                <w:lang w:eastAsia="zh-CN"/>
              </w:rPr>
            </w:pPr>
            <w:r>
              <w:rPr>
                <w:rFonts w:ascii="Arial" w:eastAsia="SimSun" w:hAnsi="Arial" w:cs="Arial"/>
                <w:b/>
                <w:lang w:eastAsia="zh-CN"/>
              </w:rPr>
              <w:t xml:space="preserve">4. </w:t>
            </w:r>
            <w:r w:rsidRPr="00E9366D">
              <w:rPr>
                <w:rFonts w:ascii="Arial" w:eastAsia="SimSun" w:hAnsi="Arial" w:cs="Arial"/>
                <w:b/>
                <w:lang w:eastAsia="zh-CN"/>
              </w:rPr>
              <w:t>Quantitative Criteria</w:t>
            </w:r>
            <w:r w:rsidR="00043DE2">
              <w:rPr>
                <w:rFonts w:ascii="Arial" w:eastAsia="SimSun" w:hAnsi="Arial" w:cs="Arial"/>
                <w:b/>
                <w:lang w:eastAsia="zh-CN"/>
              </w:rPr>
              <w:t xml:space="preserve">                                                  </w:t>
            </w:r>
            <w:r w:rsidR="00043DE2" w:rsidRPr="00043DE2">
              <w:rPr>
                <w:rFonts w:ascii="Arial" w:eastAsia="SimSun" w:hAnsi="Arial" w:cs="Arial"/>
                <w:b/>
                <w:lang w:val="hr-HR" w:eastAsia="zh-CN"/>
              </w:rPr>
              <w:t>Kvantitativni kriteriji</w:t>
            </w:r>
          </w:p>
        </w:tc>
      </w:tr>
      <w:tr w:rsidR="00D1235F" w:rsidRPr="00F80FB5" w:rsidTr="00C37C1C">
        <w:tc>
          <w:tcPr>
            <w:tcW w:w="627" w:type="dxa"/>
            <w:gridSpan w:val="2"/>
            <w:tcMar>
              <w:top w:w="57" w:type="dxa"/>
              <w:bottom w:w="57" w:type="dxa"/>
            </w:tcMar>
          </w:tcPr>
          <w:p w:rsidR="00D1235F"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13</w:t>
            </w:r>
          </w:p>
        </w:tc>
        <w:tc>
          <w:tcPr>
            <w:tcW w:w="5889" w:type="dxa"/>
            <w:gridSpan w:val="2"/>
            <w:tcMar>
              <w:top w:w="57" w:type="dxa"/>
              <w:bottom w:w="57" w:type="dxa"/>
            </w:tcMar>
          </w:tcPr>
          <w:p w:rsidR="00930AE6" w:rsidRPr="00930AE6" w:rsidRDefault="00D26613" w:rsidP="00FB3204">
            <w:pPr>
              <w:spacing w:line="276" w:lineRule="auto"/>
              <w:jc w:val="both"/>
              <w:rPr>
                <w:rFonts w:ascii="Arial" w:eastAsia="SimSun" w:hAnsi="Arial" w:cs="Arial"/>
                <w:lang w:eastAsia="zh-CN"/>
              </w:rPr>
            </w:pPr>
            <w:r w:rsidRPr="00D26613">
              <w:rPr>
                <w:rFonts w:ascii="Arial" w:eastAsia="SimSun" w:hAnsi="Arial" w:cs="Arial"/>
                <w:lang w:eastAsia="zh-CN"/>
              </w:rPr>
              <w:t>The “quota” fulfilled by judges or prosecutors should be established in accordance with each jurisdiction – civil, criminal -category of cases and instances. The quota should also take in proper account the complexity of cases in general with a proper weighing through pre-determined criteria publicized by HJPC and determined by an “ad-hoc” commission. Within one case-category no further distinctions should be made; different extent of individual cases will be balanced in longer perspective by the Law of large numbers.</w:t>
            </w:r>
          </w:p>
        </w:tc>
        <w:tc>
          <w:tcPr>
            <w:tcW w:w="5783" w:type="dxa"/>
            <w:tcMar>
              <w:top w:w="57" w:type="dxa"/>
              <w:bottom w:w="57" w:type="dxa"/>
            </w:tcMar>
          </w:tcPr>
          <w:p w:rsidR="00D1235F" w:rsidRPr="00D52EB0" w:rsidRDefault="00043DE2" w:rsidP="00FB3204">
            <w:pPr>
              <w:spacing w:line="276" w:lineRule="auto"/>
              <w:jc w:val="both"/>
              <w:rPr>
                <w:rFonts w:ascii="Arial" w:eastAsia="SimSun" w:hAnsi="Arial" w:cs="Arial"/>
                <w:lang w:val="hr-HR" w:eastAsia="zh-CN"/>
              </w:rPr>
            </w:pPr>
            <w:r w:rsidRPr="00043DE2">
              <w:rPr>
                <w:rFonts w:ascii="Arial" w:eastAsia="SimSun" w:hAnsi="Arial" w:cs="Arial"/>
                <w:lang w:val="hr-HR" w:eastAsia="zh-CN"/>
              </w:rPr>
              <w:t xml:space="preserve">“Norma” za sudije i tužioce treba biti određena za svaki referat posebno – građanski, krivični – po kategorijama predmeta i instancama. Norma bi takođe trebala pravilno odražavati kompleksnost predmeta  uz odgovarajuće odmjeravanje pomoću prethodno ustanovljenih kriterija koje objavljuje VSTV i koje utvrđuje “ad-hoc” komisija. Unutar iste vrste predmeta nije potrebno vršiti dalje podjele; različit obim pojedinih predmeta će se ujednačiti u dužoj perspektivi zakonom velikih brojeva. </w:t>
            </w:r>
          </w:p>
        </w:tc>
        <w:tc>
          <w:tcPr>
            <w:tcW w:w="2466" w:type="dxa"/>
            <w:gridSpan w:val="4"/>
            <w:tcMar>
              <w:top w:w="57" w:type="dxa"/>
              <w:bottom w:w="57" w:type="dxa"/>
            </w:tcMar>
          </w:tcPr>
          <w:p w:rsidR="00D1235F" w:rsidRPr="00F80FB5" w:rsidRDefault="00D1235F" w:rsidP="00FB3204">
            <w:pPr>
              <w:spacing w:line="276" w:lineRule="auto"/>
              <w:rPr>
                <w:rFonts w:asciiTheme="majorHAnsi" w:hAnsiTheme="majorHAnsi"/>
                <w:sz w:val="16"/>
                <w:szCs w:val="16"/>
                <w:lang w:val="en-US" w:eastAsia="x-none"/>
              </w:rPr>
            </w:pPr>
          </w:p>
        </w:tc>
      </w:tr>
      <w:tr w:rsidR="007C5402" w:rsidRPr="00F80FB5" w:rsidTr="00C37C1C">
        <w:tc>
          <w:tcPr>
            <w:tcW w:w="627" w:type="dxa"/>
            <w:gridSpan w:val="2"/>
            <w:tcMar>
              <w:top w:w="57" w:type="dxa"/>
              <w:bottom w:w="57" w:type="dxa"/>
            </w:tcMar>
          </w:tcPr>
          <w:p w:rsidR="007C5402"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14</w:t>
            </w:r>
          </w:p>
        </w:tc>
        <w:tc>
          <w:tcPr>
            <w:tcW w:w="5889" w:type="dxa"/>
            <w:gridSpan w:val="2"/>
            <w:tcMar>
              <w:top w:w="57" w:type="dxa"/>
              <w:bottom w:w="57" w:type="dxa"/>
            </w:tcMar>
          </w:tcPr>
          <w:p w:rsidR="007C5402" w:rsidRPr="008354CD" w:rsidRDefault="00D26613" w:rsidP="00D07AA6">
            <w:pPr>
              <w:spacing w:line="276" w:lineRule="auto"/>
              <w:jc w:val="both"/>
              <w:rPr>
                <w:rFonts w:ascii="Arial" w:eastAsia="SimSun" w:hAnsi="Arial" w:cs="Arial"/>
                <w:lang w:eastAsia="zh-CN"/>
              </w:rPr>
            </w:pPr>
            <w:r w:rsidRPr="00D26613">
              <w:rPr>
                <w:rFonts w:ascii="Arial" w:eastAsia="SimSun" w:hAnsi="Arial" w:cs="Arial"/>
                <w:lang w:eastAsia="zh-CN"/>
              </w:rPr>
              <w:t xml:space="preserve">The connection between the definition of quota and the strategic plan to reduce backlog </w:t>
            </w:r>
            <w:r w:rsidR="00D07AA6">
              <w:rPr>
                <w:rFonts w:ascii="Arial" w:eastAsia="SimSun" w:hAnsi="Arial" w:cs="Arial"/>
                <w:lang w:eastAsia="zh-CN"/>
              </w:rPr>
              <w:t xml:space="preserve">should </w:t>
            </w:r>
            <w:r w:rsidRPr="00D26613">
              <w:rPr>
                <w:rFonts w:ascii="Arial" w:eastAsia="SimSun" w:hAnsi="Arial" w:cs="Arial"/>
                <w:lang w:eastAsia="zh-CN"/>
              </w:rPr>
              <w:t xml:space="preserve">be </w:t>
            </w:r>
            <w:r w:rsidRPr="00D26613">
              <w:rPr>
                <w:rFonts w:ascii="Arial" w:eastAsia="SimSun" w:hAnsi="Arial" w:cs="Arial"/>
                <w:lang w:eastAsia="zh-CN"/>
              </w:rPr>
              <w:lastRenderedPageBreak/>
              <w:t>reinforced in order to enhance the managerial approach.</w:t>
            </w:r>
          </w:p>
        </w:tc>
        <w:tc>
          <w:tcPr>
            <w:tcW w:w="5783" w:type="dxa"/>
            <w:tcMar>
              <w:top w:w="57" w:type="dxa"/>
              <w:bottom w:w="57" w:type="dxa"/>
            </w:tcMar>
          </w:tcPr>
          <w:p w:rsidR="007C5402" w:rsidRPr="00FB3204" w:rsidRDefault="00D07AA6" w:rsidP="00D07AA6">
            <w:pPr>
              <w:spacing w:line="276" w:lineRule="auto"/>
              <w:jc w:val="both"/>
              <w:rPr>
                <w:rFonts w:ascii="Arial" w:eastAsia="SimSun" w:hAnsi="Arial" w:cs="Arial"/>
                <w:lang w:val="hr-HR" w:eastAsia="zh-CN"/>
              </w:rPr>
            </w:pPr>
            <w:r>
              <w:rPr>
                <w:rFonts w:ascii="Arial" w:eastAsia="SimSun" w:hAnsi="Arial" w:cs="Arial"/>
                <w:lang w:val="hr-HR" w:eastAsia="zh-CN"/>
              </w:rPr>
              <w:lastRenderedPageBreak/>
              <w:t>Potrebno je o</w:t>
            </w:r>
            <w:r w:rsidR="00077027">
              <w:rPr>
                <w:rFonts w:ascii="Arial" w:eastAsia="SimSun" w:hAnsi="Arial" w:cs="Arial"/>
                <w:lang w:val="hr-HR" w:eastAsia="zh-CN"/>
              </w:rPr>
              <w:t>jačati po</w:t>
            </w:r>
            <w:r w:rsidR="00043DE2" w:rsidRPr="00043DE2">
              <w:rPr>
                <w:rFonts w:ascii="Arial" w:eastAsia="SimSun" w:hAnsi="Arial" w:cs="Arial"/>
                <w:lang w:val="hr-HR" w:eastAsia="zh-CN"/>
              </w:rPr>
              <w:t>vez</w:t>
            </w:r>
            <w:r w:rsidR="00077027">
              <w:rPr>
                <w:rFonts w:ascii="Arial" w:eastAsia="SimSun" w:hAnsi="Arial" w:cs="Arial"/>
                <w:lang w:val="hr-HR" w:eastAsia="zh-CN"/>
              </w:rPr>
              <w:t>anost</w:t>
            </w:r>
            <w:r w:rsidR="00043DE2" w:rsidRPr="00043DE2">
              <w:rPr>
                <w:rFonts w:ascii="Arial" w:eastAsia="SimSun" w:hAnsi="Arial" w:cs="Arial"/>
                <w:lang w:val="hr-HR" w:eastAsia="zh-CN"/>
              </w:rPr>
              <w:t xml:space="preserve"> norme i strateškog plana za smanjenje broja starih predmeta </w:t>
            </w:r>
            <w:r w:rsidR="00077027">
              <w:rPr>
                <w:rFonts w:ascii="Arial" w:eastAsia="SimSun" w:hAnsi="Arial" w:cs="Arial"/>
                <w:lang w:val="hr-HR" w:eastAsia="zh-CN"/>
              </w:rPr>
              <w:t xml:space="preserve">radi jačanja </w:t>
            </w:r>
            <w:r w:rsidR="00043DE2" w:rsidRPr="00043DE2">
              <w:rPr>
                <w:rFonts w:ascii="Arial" w:eastAsia="SimSun" w:hAnsi="Arial" w:cs="Arial"/>
                <w:lang w:val="hr-HR" w:eastAsia="zh-CN"/>
              </w:rPr>
              <w:t>menadžersk</w:t>
            </w:r>
            <w:r w:rsidR="00077027">
              <w:rPr>
                <w:rFonts w:ascii="Arial" w:eastAsia="SimSun" w:hAnsi="Arial" w:cs="Arial"/>
                <w:lang w:val="hr-HR" w:eastAsia="zh-CN"/>
              </w:rPr>
              <w:t>og</w:t>
            </w:r>
            <w:r w:rsidR="00043DE2" w:rsidRPr="00043DE2">
              <w:rPr>
                <w:rFonts w:ascii="Arial" w:eastAsia="SimSun" w:hAnsi="Arial" w:cs="Arial"/>
                <w:lang w:val="hr-HR" w:eastAsia="zh-CN"/>
              </w:rPr>
              <w:t xml:space="preserve"> pristup</w:t>
            </w:r>
            <w:r w:rsidR="00077027">
              <w:rPr>
                <w:rFonts w:ascii="Arial" w:eastAsia="SimSun" w:hAnsi="Arial" w:cs="Arial"/>
                <w:lang w:val="hr-HR" w:eastAsia="zh-CN"/>
              </w:rPr>
              <w:t>a</w:t>
            </w:r>
            <w:r w:rsidR="00043DE2" w:rsidRPr="00043DE2">
              <w:rPr>
                <w:rFonts w:ascii="Arial" w:eastAsia="SimSun" w:hAnsi="Arial" w:cs="Arial"/>
                <w:lang w:val="hr-HR" w:eastAsia="zh-CN"/>
              </w:rPr>
              <w:t>.</w:t>
            </w:r>
          </w:p>
        </w:tc>
        <w:tc>
          <w:tcPr>
            <w:tcW w:w="2466" w:type="dxa"/>
            <w:gridSpan w:val="4"/>
            <w:tcMar>
              <w:top w:w="57" w:type="dxa"/>
              <w:bottom w:w="57" w:type="dxa"/>
            </w:tcMar>
          </w:tcPr>
          <w:p w:rsidR="007C5402" w:rsidRPr="00F80FB5" w:rsidRDefault="007C5402" w:rsidP="00FB3204">
            <w:pPr>
              <w:spacing w:line="276" w:lineRule="auto"/>
              <w:rPr>
                <w:rFonts w:asciiTheme="majorHAnsi" w:hAnsiTheme="majorHAnsi"/>
                <w:sz w:val="16"/>
                <w:szCs w:val="16"/>
                <w:lang w:val="en-US" w:eastAsia="x-none"/>
              </w:rPr>
            </w:pPr>
          </w:p>
        </w:tc>
      </w:tr>
      <w:tr w:rsidR="00D26613" w:rsidRPr="00F80FB5" w:rsidTr="00C37C1C">
        <w:tc>
          <w:tcPr>
            <w:tcW w:w="627" w:type="dxa"/>
            <w:gridSpan w:val="2"/>
            <w:tcMar>
              <w:top w:w="57" w:type="dxa"/>
              <w:bottom w:w="57" w:type="dxa"/>
            </w:tcMar>
          </w:tcPr>
          <w:p w:rsidR="00D26613"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15</w:t>
            </w:r>
          </w:p>
        </w:tc>
        <w:tc>
          <w:tcPr>
            <w:tcW w:w="5889" w:type="dxa"/>
            <w:gridSpan w:val="2"/>
            <w:tcMar>
              <w:top w:w="57" w:type="dxa"/>
              <w:bottom w:w="57" w:type="dxa"/>
            </w:tcMar>
          </w:tcPr>
          <w:p w:rsidR="00D26613" w:rsidRPr="00D26613" w:rsidRDefault="00D26613" w:rsidP="00D26613">
            <w:pPr>
              <w:spacing w:line="276" w:lineRule="auto"/>
              <w:jc w:val="both"/>
              <w:rPr>
                <w:rFonts w:ascii="Arial" w:eastAsia="SimSun" w:hAnsi="Arial" w:cs="Arial"/>
                <w:lang w:eastAsia="zh-CN"/>
              </w:rPr>
            </w:pPr>
            <w:r w:rsidRPr="00D26613">
              <w:rPr>
                <w:rFonts w:ascii="Arial" w:eastAsia="SimSun" w:hAnsi="Arial" w:cs="Arial"/>
                <w:lang w:eastAsia="zh-CN"/>
              </w:rPr>
              <w:t>The impact of quantitative criteria should be reduced significantly with the exception of the backlog-reduction-criterion.</w:t>
            </w:r>
          </w:p>
        </w:tc>
        <w:tc>
          <w:tcPr>
            <w:tcW w:w="5783" w:type="dxa"/>
            <w:tcMar>
              <w:top w:w="57" w:type="dxa"/>
              <w:bottom w:w="57" w:type="dxa"/>
            </w:tcMar>
          </w:tcPr>
          <w:p w:rsidR="00D26613" w:rsidRPr="00FB3204" w:rsidRDefault="00077027" w:rsidP="00077027">
            <w:pPr>
              <w:spacing w:line="276" w:lineRule="auto"/>
              <w:jc w:val="both"/>
              <w:rPr>
                <w:rFonts w:ascii="Arial" w:eastAsia="SimSun" w:hAnsi="Arial" w:cs="Arial"/>
                <w:lang w:val="hr-HR" w:eastAsia="zh-CN"/>
              </w:rPr>
            </w:pPr>
            <w:r w:rsidRPr="00077027">
              <w:rPr>
                <w:rFonts w:ascii="Arial" w:eastAsia="SimSun" w:hAnsi="Arial" w:cs="Arial"/>
                <w:lang w:val="hr-HR" w:eastAsia="zh-CN"/>
              </w:rPr>
              <w:t xml:space="preserve">Uticaj kvantitativnih kriterija se treba značajno smanjiti </w:t>
            </w:r>
            <w:r>
              <w:rPr>
                <w:rFonts w:ascii="Arial" w:eastAsia="SimSun" w:hAnsi="Arial" w:cs="Arial"/>
                <w:lang w:val="hr-HR" w:eastAsia="zh-CN"/>
              </w:rPr>
              <w:t xml:space="preserve">osim </w:t>
            </w:r>
            <w:r w:rsidRPr="00077027">
              <w:rPr>
                <w:rFonts w:ascii="Arial" w:eastAsia="SimSun" w:hAnsi="Arial" w:cs="Arial"/>
                <w:lang w:val="hr-HR" w:eastAsia="zh-CN"/>
              </w:rPr>
              <w:t>kriterija smanjenja broja starih predmeta.</w:t>
            </w:r>
          </w:p>
        </w:tc>
        <w:tc>
          <w:tcPr>
            <w:tcW w:w="2466" w:type="dxa"/>
            <w:gridSpan w:val="4"/>
            <w:tcMar>
              <w:top w:w="57" w:type="dxa"/>
              <w:bottom w:w="57" w:type="dxa"/>
            </w:tcMar>
          </w:tcPr>
          <w:p w:rsidR="00D26613" w:rsidRPr="00F80FB5" w:rsidRDefault="00D26613" w:rsidP="00FB3204">
            <w:pPr>
              <w:spacing w:line="276" w:lineRule="auto"/>
              <w:rPr>
                <w:rFonts w:asciiTheme="majorHAnsi" w:hAnsiTheme="majorHAnsi"/>
                <w:sz w:val="16"/>
                <w:szCs w:val="16"/>
                <w:lang w:val="en-US" w:eastAsia="x-none"/>
              </w:rPr>
            </w:pPr>
          </w:p>
        </w:tc>
      </w:tr>
      <w:tr w:rsidR="00182C1B" w:rsidRPr="00F80FB5" w:rsidTr="00D26613">
        <w:tc>
          <w:tcPr>
            <w:tcW w:w="14765" w:type="dxa"/>
            <w:gridSpan w:val="9"/>
            <w:shd w:val="clear" w:color="auto" w:fill="F2F2F2" w:themeFill="background1" w:themeFillShade="F2"/>
            <w:tcMar>
              <w:top w:w="57" w:type="dxa"/>
              <w:bottom w:w="57" w:type="dxa"/>
            </w:tcMar>
          </w:tcPr>
          <w:p w:rsidR="00D77CC9" w:rsidRPr="00D26613" w:rsidRDefault="00D26613" w:rsidP="00077027">
            <w:pPr>
              <w:spacing w:line="360" w:lineRule="auto"/>
              <w:ind w:left="592"/>
              <w:rPr>
                <w:rFonts w:ascii="Arial" w:eastAsia="SimSun" w:hAnsi="Arial" w:cs="Arial"/>
                <w:b/>
                <w:lang w:eastAsia="zh-CN"/>
              </w:rPr>
            </w:pPr>
            <w:r w:rsidRPr="00D26613">
              <w:rPr>
                <w:rFonts w:ascii="Arial" w:eastAsia="SimSun" w:hAnsi="Arial" w:cs="Arial"/>
                <w:b/>
                <w:lang w:eastAsia="zh-CN"/>
              </w:rPr>
              <w:t>5. Procedures of evaluation</w:t>
            </w:r>
            <w:r w:rsidR="00077027">
              <w:rPr>
                <w:rFonts w:ascii="Arial" w:eastAsia="SimSun" w:hAnsi="Arial" w:cs="Arial"/>
                <w:b/>
                <w:lang w:eastAsia="zh-CN"/>
              </w:rPr>
              <w:t xml:space="preserve">                                              Postupak ocjenjivanja</w:t>
            </w:r>
          </w:p>
        </w:tc>
      </w:tr>
      <w:tr w:rsidR="00DF613E" w:rsidRPr="00F80FB5" w:rsidTr="00C37C1C">
        <w:tc>
          <w:tcPr>
            <w:tcW w:w="627" w:type="dxa"/>
            <w:gridSpan w:val="2"/>
            <w:tcMar>
              <w:top w:w="57" w:type="dxa"/>
              <w:bottom w:w="57" w:type="dxa"/>
            </w:tcMar>
          </w:tcPr>
          <w:p w:rsidR="00DF613E" w:rsidRPr="00F80FB5"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16</w:t>
            </w:r>
          </w:p>
        </w:tc>
        <w:tc>
          <w:tcPr>
            <w:tcW w:w="5889" w:type="dxa"/>
            <w:gridSpan w:val="2"/>
            <w:tcMar>
              <w:top w:w="57" w:type="dxa"/>
              <w:bottom w:w="57" w:type="dxa"/>
            </w:tcMar>
          </w:tcPr>
          <w:p w:rsidR="00DF613E" w:rsidRPr="00D26613" w:rsidRDefault="00D26613" w:rsidP="00FB3204">
            <w:pPr>
              <w:spacing w:line="276" w:lineRule="auto"/>
              <w:jc w:val="both"/>
              <w:rPr>
                <w:rFonts w:ascii="Arial" w:eastAsia="SimSun" w:hAnsi="Arial" w:cs="Arial"/>
                <w:lang w:eastAsia="zh-CN"/>
              </w:rPr>
            </w:pPr>
            <w:r w:rsidRPr="00D26613">
              <w:rPr>
                <w:rFonts w:ascii="Arial" w:eastAsia="SimSun" w:hAnsi="Arial" w:cs="Arial"/>
                <w:lang w:eastAsia="zh-CN"/>
              </w:rPr>
              <w:t>The evaluator should continue to be the President of Court or the Chief Prosecutor of the evaluated judge or prosecutor. Nonetheless, the explanatory reports accompanying evaluations require more substantive reasoning, based on clearly established criteria for evaluation. However HJPC should have in their internal structure a specialized department with competences to decide on the final mark to be conceded notwithstanding the present mechanisms of complaint to the HJPC already in place and finally the judicial review possibility.</w:t>
            </w:r>
          </w:p>
        </w:tc>
        <w:tc>
          <w:tcPr>
            <w:tcW w:w="5783" w:type="dxa"/>
            <w:tcMar>
              <w:top w:w="57" w:type="dxa"/>
              <w:bottom w:w="57" w:type="dxa"/>
            </w:tcMar>
          </w:tcPr>
          <w:p w:rsidR="00077027" w:rsidRPr="00077027" w:rsidRDefault="00B14A7E" w:rsidP="00077027">
            <w:pPr>
              <w:spacing w:line="276" w:lineRule="auto"/>
              <w:jc w:val="both"/>
              <w:rPr>
                <w:rFonts w:ascii="Arial" w:eastAsia="SimSun" w:hAnsi="Arial" w:cs="Arial"/>
                <w:lang w:val="hr-HR" w:eastAsia="zh-CN"/>
              </w:rPr>
            </w:pPr>
            <w:r w:rsidRPr="00FB3204">
              <w:rPr>
                <w:rFonts w:ascii="Arial" w:eastAsia="SimSun" w:hAnsi="Arial" w:cs="Arial"/>
                <w:lang w:val="hr-HR" w:eastAsia="zh-CN"/>
              </w:rPr>
              <w:t xml:space="preserve"> </w:t>
            </w:r>
            <w:r w:rsidR="00077027" w:rsidRPr="00077027">
              <w:rPr>
                <w:rFonts w:ascii="Arial" w:eastAsia="SimSun" w:hAnsi="Arial" w:cs="Arial"/>
                <w:lang w:val="hr-HR" w:eastAsia="zh-CN"/>
              </w:rPr>
              <w:t>Ocjenjivač treba i dalje biti predsjednik suda ili glavni tužilac u odnosu na sudiju ili tužioca koji se ocjenjuju. Ipak, pismeno obrazloženje koje se dostavlja uz ocjene treba biti suštinski detaljnije, u skladu sa jasno utvrđenim kriterijima za ocjenu. Međutim, VSTV bi trebao imati u svojoj internoj strukturi specijalizirani odjel sa nadležnošću da odlučuje o konačnoj ocjeni bez obzira na postojeće mehanizme pritužbe VSTV-u koji već postoje i konačno mogućnost sudskog preispitivanja.</w:t>
            </w:r>
          </w:p>
          <w:p w:rsidR="00DF613E" w:rsidRPr="00FB3204" w:rsidRDefault="00DF613E" w:rsidP="00D26613">
            <w:pPr>
              <w:spacing w:line="276" w:lineRule="auto"/>
              <w:jc w:val="both"/>
              <w:rPr>
                <w:rFonts w:ascii="Arial" w:eastAsia="SimSun" w:hAnsi="Arial" w:cs="Arial"/>
                <w:lang w:val="hr-HR" w:eastAsia="zh-CN"/>
              </w:rPr>
            </w:pPr>
          </w:p>
        </w:tc>
        <w:tc>
          <w:tcPr>
            <w:tcW w:w="2466" w:type="dxa"/>
            <w:gridSpan w:val="4"/>
            <w:tcMar>
              <w:top w:w="57" w:type="dxa"/>
              <w:bottom w:w="57" w:type="dxa"/>
            </w:tcMar>
          </w:tcPr>
          <w:p w:rsidR="00DF613E" w:rsidRPr="00F80FB5" w:rsidRDefault="00DF613E" w:rsidP="00FB3204">
            <w:pPr>
              <w:spacing w:line="276" w:lineRule="auto"/>
              <w:rPr>
                <w:rFonts w:asciiTheme="majorHAnsi" w:hAnsiTheme="majorHAnsi" w:cs="Times New Roman"/>
                <w:sz w:val="16"/>
                <w:szCs w:val="16"/>
              </w:rPr>
            </w:pPr>
          </w:p>
        </w:tc>
      </w:tr>
      <w:tr w:rsidR="00D26613" w:rsidRPr="00F80FB5" w:rsidTr="00C37C1C">
        <w:tc>
          <w:tcPr>
            <w:tcW w:w="627" w:type="dxa"/>
            <w:gridSpan w:val="2"/>
            <w:tcMar>
              <w:top w:w="57" w:type="dxa"/>
              <w:bottom w:w="57" w:type="dxa"/>
            </w:tcMar>
          </w:tcPr>
          <w:p w:rsidR="00D26613"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17</w:t>
            </w:r>
          </w:p>
        </w:tc>
        <w:tc>
          <w:tcPr>
            <w:tcW w:w="5889" w:type="dxa"/>
            <w:gridSpan w:val="2"/>
            <w:tcMar>
              <w:top w:w="57" w:type="dxa"/>
              <w:bottom w:w="57" w:type="dxa"/>
            </w:tcMar>
          </w:tcPr>
          <w:p w:rsidR="00D26613" w:rsidRPr="00D26613" w:rsidRDefault="00D26613" w:rsidP="00D07AA6">
            <w:pPr>
              <w:spacing w:line="276" w:lineRule="auto"/>
              <w:jc w:val="both"/>
              <w:rPr>
                <w:rFonts w:ascii="Arial" w:eastAsia="SimSun" w:hAnsi="Arial" w:cs="Arial"/>
                <w:lang w:eastAsia="zh-CN"/>
              </w:rPr>
            </w:pPr>
            <w:r w:rsidRPr="00D26613">
              <w:rPr>
                <w:rFonts w:ascii="Arial" w:eastAsia="SimSun" w:hAnsi="Arial" w:cs="Arial"/>
                <w:lang w:eastAsia="zh-CN"/>
              </w:rPr>
              <w:t xml:space="preserve">Before the evaluator (Court President or Chief Prosecutor) gives his/her appraisal to the HJPC, the evaluated person should be informed about its wording and grade and have the possibility to respond to it in written. The evaluator takes this statement into consideration, amending his/her draft – or not – before forwarding it to the HJPC. More formalized remedies should not be provided before the decision of the </w:t>
            </w:r>
            <w:r w:rsidRPr="00D26613">
              <w:rPr>
                <w:rFonts w:ascii="Arial" w:eastAsia="SimSun" w:hAnsi="Arial" w:cs="Arial"/>
                <w:lang w:eastAsia="zh-CN"/>
              </w:rPr>
              <w:lastRenderedPageBreak/>
              <w:t>HJPC about the final grade not to slow down the procedure unnecessarily.</w:t>
            </w:r>
          </w:p>
        </w:tc>
        <w:tc>
          <w:tcPr>
            <w:tcW w:w="5783" w:type="dxa"/>
            <w:tcMar>
              <w:top w:w="57" w:type="dxa"/>
              <w:bottom w:w="57" w:type="dxa"/>
            </w:tcMar>
          </w:tcPr>
          <w:p w:rsidR="00D26613" w:rsidRPr="00FB3204" w:rsidRDefault="00077027" w:rsidP="00D07AA6">
            <w:pPr>
              <w:spacing w:line="276" w:lineRule="auto"/>
              <w:jc w:val="both"/>
              <w:rPr>
                <w:rFonts w:ascii="Arial" w:eastAsia="SimSun" w:hAnsi="Arial" w:cs="Arial"/>
                <w:lang w:val="hr-HR" w:eastAsia="zh-CN"/>
              </w:rPr>
            </w:pPr>
            <w:r w:rsidRPr="00077027">
              <w:rPr>
                <w:rFonts w:ascii="Arial" w:eastAsia="SimSun" w:hAnsi="Arial" w:cs="Arial"/>
                <w:lang w:val="hr-HR" w:eastAsia="zh-CN"/>
              </w:rPr>
              <w:lastRenderedPageBreak/>
              <w:t>Prije nego ocjenjivač (predsjednik suda ili glavni tužilac) dostavi svoju ocjenu VSTV-u, osoba koja se ocjenjuje bi trebala biti obaviještena o mišljenju i datoj ocjeni i imati mogućnost da na to pismeno odgovori</w:t>
            </w:r>
            <w:r w:rsidR="00D07AA6">
              <w:rPr>
                <w:rFonts w:ascii="Arial" w:eastAsia="SimSun" w:hAnsi="Arial" w:cs="Arial"/>
                <w:lang w:val="hr-HR" w:eastAsia="zh-CN"/>
              </w:rPr>
              <w:t xml:space="preserve">. </w:t>
            </w:r>
            <w:r w:rsidRPr="00077027">
              <w:rPr>
                <w:rFonts w:ascii="Arial" w:eastAsia="SimSun" w:hAnsi="Arial" w:cs="Arial"/>
                <w:lang w:val="hr-HR" w:eastAsia="zh-CN"/>
              </w:rPr>
              <w:t>Ocjenjivač uzima u obzir takvu izjavu, mijenja svoj nacrt – ili ne – te isti dostavlja VSTV-u. Formalniji pravni lijek ne bi trebao biti na raspolaganju prije odluke VSTV o konačnoj ocjeni, da se postupak ne bi nepotrebno usporavao.</w:t>
            </w:r>
          </w:p>
        </w:tc>
        <w:tc>
          <w:tcPr>
            <w:tcW w:w="2466" w:type="dxa"/>
            <w:gridSpan w:val="4"/>
            <w:tcMar>
              <w:top w:w="57" w:type="dxa"/>
              <w:bottom w:w="57" w:type="dxa"/>
            </w:tcMar>
          </w:tcPr>
          <w:p w:rsidR="00D26613" w:rsidRPr="00F80FB5" w:rsidRDefault="00D26613" w:rsidP="00FB3204">
            <w:pPr>
              <w:spacing w:line="276" w:lineRule="auto"/>
              <w:rPr>
                <w:rFonts w:asciiTheme="majorHAnsi" w:hAnsiTheme="majorHAnsi" w:cs="Times New Roman"/>
                <w:sz w:val="16"/>
                <w:szCs w:val="16"/>
              </w:rPr>
            </w:pPr>
          </w:p>
        </w:tc>
      </w:tr>
      <w:tr w:rsidR="00D26613" w:rsidRPr="00F80FB5" w:rsidTr="00C37C1C">
        <w:tc>
          <w:tcPr>
            <w:tcW w:w="627" w:type="dxa"/>
            <w:gridSpan w:val="2"/>
            <w:tcMar>
              <w:top w:w="57" w:type="dxa"/>
              <w:bottom w:w="57" w:type="dxa"/>
            </w:tcMar>
          </w:tcPr>
          <w:p w:rsidR="00D26613" w:rsidRDefault="00930AE6" w:rsidP="00FB3204">
            <w:pPr>
              <w:spacing w:line="276" w:lineRule="auto"/>
              <w:rPr>
                <w:rFonts w:asciiTheme="majorHAnsi" w:hAnsiTheme="majorHAnsi" w:cs="Times New Roman"/>
                <w:sz w:val="16"/>
                <w:szCs w:val="16"/>
              </w:rPr>
            </w:pPr>
            <w:r>
              <w:rPr>
                <w:rFonts w:asciiTheme="majorHAnsi" w:hAnsiTheme="majorHAnsi" w:cs="Times New Roman"/>
                <w:sz w:val="16"/>
                <w:szCs w:val="16"/>
              </w:rPr>
              <w:t>18</w:t>
            </w:r>
          </w:p>
        </w:tc>
        <w:tc>
          <w:tcPr>
            <w:tcW w:w="5889" w:type="dxa"/>
            <w:gridSpan w:val="2"/>
            <w:tcMar>
              <w:top w:w="57" w:type="dxa"/>
              <w:bottom w:w="57" w:type="dxa"/>
            </w:tcMar>
          </w:tcPr>
          <w:p w:rsidR="00D26613" w:rsidRPr="00D26613" w:rsidRDefault="00D26613" w:rsidP="00D26613">
            <w:pPr>
              <w:spacing w:line="276" w:lineRule="auto"/>
              <w:jc w:val="both"/>
              <w:rPr>
                <w:rFonts w:ascii="Arial" w:eastAsia="SimSun" w:hAnsi="Arial" w:cs="Arial"/>
                <w:lang w:eastAsia="zh-CN"/>
              </w:rPr>
            </w:pPr>
            <w:r w:rsidRPr="00D26613">
              <w:rPr>
                <w:rFonts w:ascii="Arial" w:eastAsia="SimSun" w:hAnsi="Arial" w:cs="Arial"/>
                <w:bCs/>
                <w:lang w:eastAsia="zh-CN"/>
              </w:rPr>
              <w:t xml:space="preserve">The evaluated judge or prosecutor has the right to have access to the documents being examined and to actively participate in the appraisal procedures by expressing his/her own point of view and commenting on any critical remarks. </w:t>
            </w:r>
            <w:r w:rsidRPr="00D26613">
              <w:rPr>
                <w:rFonts w:ascii="Arial" w:eastAsia="SimSun" w:hAnsi="Arial" w:cs="Arial"/>
                <w:lang w:eastAsia="zh-CN"/>
              </w:rPr>
              <w:t>A judicial review must be permitted in case of discordance about the final grade fixed by the HJPC.</w:t>
            </w:r>
          </w:p>
        </w:tc>
        <w:tc>
          <w:tcPr>
            <w:tcW w:w="5783" w:type="dxa"/>
            <w:tcMar>
              <w:top w:w="57" w:type="dxa"/>
              <w:bottom w:w="57" w:type="dxa"/>
            </w:tcMar>
          </w:tcPr>
          <w:p w:rsidR="00077027" w:rsidRPr="00077027" w:rsidRDefault="00077027" w:rsidP="00077027">
            <w:pPr>
              <w:spacing w:line="276" w:lineRule="auto"/>
              <w:jc w:val="both"/>
              <w:rPr>
                <w:rFonts w:ascii="Arial" w:eastAsia="SimSun" w:hAnsi="Arial" w:cs="Arial"/>
                <w:lang w:val="hr-HR" w:eastAsia="zh-CN"/>
              </w:rPr>
            </w:pPr>
            <w:r w:rsidRPr="00077027">
              <w:rPr>
                <w:rFonts w:ascii="Arial" w:eastAsia="SimSun" w:hAnsi="Arial" w:cs="Arial"/>
                <w:bCs/>
                <w:lang w:val="hr-HR" w:eastAsia="zh-CN"/>
              </w:rPr>
              <w:t xml:space="preserve">Ocjenjivani sudija ili tužilac ima pravo na pristup dokumentima koji se koriste i na aktivno učešće u postupku ocjenjivanja tako što će izraziti svoj stav i dati komentar na eventualne kritike. </w:t>
            </w:r>
            <w:r w:rsidRPr="00077027">
              <w:rPr>
                <w:rFonts w:ascii="Arial" w:eastAsia="SimSun" w:hAnsi="Arial" w:cs="Arial"/>
                <w:lang w:val="hr-HR" w:eastAsia="zh-CN"/>
              </w:rPr>
              <w:t>Sudsko preispitivanje mora biti omogućeno u slučaju neslaganja sa konačnom ocjenom koju utvrdi VSTV.</w:t>
            </w:r>
          </w:p>
          <w:p w:rsidR="00D26613" w:rsidRPr="00FB3204" w:rsidRDefault="00D26613" w:rsidP="00D26613">
            <w:pPr>
              <w:spacing w:line="276" w:lineRule="auto"/>
              <w:jc w:val="both"/>
              <w:rPr>
                <w:rFonts w:ascii="Arial" w:eastAsia="SimSun" w:hAnsi="Arial" w:cs="Arial"/>
                <w:lang w:val="hr-HR" w:eastAsia="zh-CN"/>
              </w:rPr>
            </w:pPr>
          </w:p>
        </w:tc>
        <w:tc>
          <w:tcPr>
            <w:tcW w:w="2466" w:type="dxa"/>
            <w:gridSpan w:val="4"/>
            <w:tcMar>
              <w:top w:w="57" w:type="dxa"/>
              <w:bottom w:w="57" w:type="dxa"/>
            </w:tcMar>
          </w:tcPr>
          <w:p w:rsidR="00D26613" w:rsidRPr="00F80FB5" w:rsidRDefault="00D26613" w:rsidP="00FB3204">
            <w:pPr>
              <w:spacing w:line="276" w:lineRule="auto"/>
              <w:rPr>
                <w:rFonts w:asciiTheme="majorHAnsi" w:hAnsiTheme="majorHAnsi" w:cs="Times New Roman"/>
                <w:sz w:val="16"/>
                <w:szCs w:val="16"/>
              </w:rPr>
            </w:pPr>
          </w:p>
        </w:tc>
      </w:tr>
      <w:tr w:rsidR="00D26613" w:rsidRPr="00F80FB5" w:rsidTr="00C37C1C">
        <w:tc>
          <w:tcPr>
            <w:tcW w:w="627" w:type="dxa"/>
            <w:gridSpan w:val="2"/>
            <w:tcMar>
              <w:top w:w="57" w:type="dxa"/>
              <w:bottom w:w="57" w:type="dxa"/>
            </w:tcMar>
          </w:tcPr>
          <w:p w:rsidR="00D26613" w:rsidRDefault="00120B7B" w:rsidP="00930AE6">
            <w:pPr>
              <w:spacing w:line="276" w:lineRule="auto"/>
              <w:rPr>
                <w:rFonts w:asciiTheme="majorHAnsi" w:hAnsiTheme="majorHAnsi" w:cs="Times New Roman"/>
                <w:sz w:val="16"/>
                <w:szCs w:val="16"/>
              </w:rPr>
            </w:pPr>
            <w:r>
              <w:rPr>
                <w:rFonts w:asciiTheme="majorHAnsi" w:hAnsiTheme="majorHAnsi" w:cs="Times New Roman"/>
                <w:sz w:val="16"/>
                <w:szCs w:val="16"/>
              </w:rPr>
              <w:t>1</w:t>
            </w:r>
            <w:r w:rsidR="00930AE6">
              <w:rPr>
                <w:rFonts w:asciiTheme="majorHAnsi" w:hAnsiTheme="majorHAnsi" w:cs="Times New Roman"/>
                <w:sz w:val="16"/>
                <w:szCs w:val="16"/>
              </w:rPr>
              <w:t>9</w:t>
            </w:r>
          </w:p>
        </w:tc>
        <w:tc>
          <w:tcPr>
            <w:tcW w:w="5889" w:type="dxa"/>
            <w:gridSpan w:val="2"/>
            <w:tcMar>
              <w:top w:w="57" w:type="dxa"/>
              <w:bottom w:w="57" w:type="dxa"/>
            </w:tcMar>
          </w:tcPr>
          <w:p w:rsidR="00D26613" w:rsidRPr="00D26613" w:rsidRDefault="00D26613" w:rsidP="00D26613">
            <w:pPr>
              <w:spacing w:line="276" w:lineRule="auto"/>
              <w:jc w:val="both"/>
              <w:rPr>
                <w:rFonts w:ascii="Arial" w:eastAsia="SimSun" w:hAnsi="Arial" w:cs="Arial"/>
                <w:bCs/>
                <w:lang w:eastAsia="zh-CN"/>
              </w:rPr>
            </w:pPr>
            <w:r w:rsidRPr="00D26613">
              <w:rPr>
                <w:rFonts w:ascii="Arial" w:eastAsia="SimSun" w:hAnsi="Arial" w:cs="Arial"/>
                <w:bCs/>
                <w:lang w:eastAsia="zh-CN"/>
              </w:rPr>
              <w:t xml:space="preserve">d. Appraisals as judges and prosecutors and such as Court Presidents and Chief Prosecutors should be kept clearly separate and, if both functions are fulfilled, merged just at the level of the final grade following the ratio of judicial and managerial work. If the evaluated person fulfils 100% managerial work and not more judicial/prosecutorial one, his/her final mark/grade should be considered as fully equivalent to a final mark/grade gained on 100% of judicial/prosecutorial work or on “mixed marks/grades”. </w:t>
            </w:r>
          </w:p>
        </w:tc>
        <w:tc>
          <w:tcPr>
            <w:tcW w:w="5783" w:type="dxa"/>
            <w:tcMar>
              <w:top w:w="57" w:type="dxa"/>
              <w:bottom w:w="57" w:type="dxa"/>
            </w:tcMar>
          </w:tcPr>
          <w:p w:rsidR="00D26613" w:rsidRPr="00FB3204" w:rsidRDefault="00077027" w:rsidP="00D26613">
            <w:pPr>
              <w:spacing w:line="276" w:lineRule="auto"/>
              <w:jc w:val="both"/>
              <w:rPr>
                <w:rFonts w:ascii="Arial" w:eastAsia="SimSun" w:hAnsi="Arial" w:cs="Arial"/>
                <w:lang w:val="hr-HR" w:eastAsia="zh-CN"/>
              </w:rPr>
            </w:pPr>
            <w:r w:rsidRPr="00077027">
              <w:rPr>
                <w:rFonts w:ascii="Arial" w:eastAsia="SimSun" w:hAnsi="Arial" w:cs="Arial"/>
                <w:lang w:val="hr-HR" w:eastAsia="zh-CN"/>
              </w:rPr>
              <w:t xml:space="preserve">Ocjena sudije i tužilaca se jasno treba razdvojiti od ocjene predsjednika suda i glavnog tužioca, a za one koje obnašaju obje funkcije, treba ih spojiti samo na nivou konačne ocjene koja će odražavati odnos sudijskog i rukovodnog posla. Ako osoba koja se ocjenjuje ostvari 100% rukovodnog posla, a ne ispuni više sudijskog ili tužilačkog, konačna ocjena za tu osobu treba biti u potpunosti jednaka konačnoj ocjeni ostvarenoj sa 100% sudijskog/tužilačkog rada ili kao “kombinovana ocjena”. </w:t>
            </w:r>
          </w:p>
        </w:tc>
        <w:tc>
          <w:tcPr>
            <w:tcW w:w="2466" w:type="dxa"/>
            <w:gridSpan w:val="4"/>
            <w:tcMar>
              <w:top w:w="57" w:type="dxa"/>
              <w:bottom w:w="57" w:type="dxa"/>
            </w:tcMar>
          </w:tcPr>
          <w:p w:rsidR="00D26613" w:rsidRPr="00F80FB5" w:rsidRDefault="00D26613" w:rsidP="00FB3204">
            <w:pPr>
              <w:spacing w:line="276" w:lineRule="auto"/>
              <w:rPr>
                <w:rFonts w:asciiTheme="majorHAnsi" w:hAnsiTheme="majorHAnsi" w:cs="Times New Roman"/>
                <w:sz w:val="16"/>
                <w:szCs w:val="16"/>
              </w:rPr>
            </w:pPr>
          </w:p>
        </w:tc>
      </w:tr>
      <w:tr w:rsidR="00182C1B" w:rsidRPr="00F80FB5" w:rsidTr="00D26613">
        <w:tc>
          <w:tcPr>
            <w:tcW w:w="14765" w:type="dxa"/>
            <w:gridSpan w:val="9"/>
            <w:shd w:val="clear" w:color="auto" w:fill="F2F2F2" w:themeFill="background1" w:themeFillShade="F2"/>
            <w:tcMar>
              <w:top w:w="57" w:type="dxa"/>
              <w:bottom w:w="57" w:type="dxa"/>
            </w:tcMar>
          </w:tcPr>
          <w:p w:rsidR="00FB3204" w:rsidRPr="00D07AA6" w:rsidRDefault="00A96AA9" w:rsidP="00C37C1C">
            <w:pPr>
              <w:spacing w:line="276" w:lineRule="auto"/>
              <w:rPr>
                <w:rFonts w:ascii="Arial" w:eastAsia="SimSun" w:hAnsi="Arial" w:cs="Arial"/>
                <w:b/>
                <w:lang w:eastAsia="zh-CN"/>
              </w:rPr>
            </w:pPr>
            <w:r w:rsidRPr="00D07AA6">
              <w:rPr>
                <w:rFonts w:ascii="Arial" w:eastAsia="SimSun" w:hAnsi="Arial" w:cs="Arial"/>
                <w:b/>
                <w:lang w:eastAsia="zh-CN"/>
              </w:rPr>
              <w:t>Proposed t</w:t>
            </w:r>
            <w:r w:rsidR="008E5636" w:rsidRPr="00D07AA6">
              <w:rPr>
                <w:rFonts w:ascii="Arial" w:eastAsia="SimSun" w:hAnsi="Arial" w:cs="Arial"/>
                <w:b/>
                <w:lang w:eastAsia="zh-CN"/>
              </w:rPr>
              <w:t>imeline for implement</w:t>
            </w:r>
            <w:r w:rsidRPr="00D07AA6">
              <w:rPr>
                <w:rFonts w:ascii="Arial" w:eastAsia="SimSun" w:hAnsi="Arial" w:cs="Arial"/>
                <w:b/>
                <w:lang w:eastAsia="zh-CN"/>
              </w:rPr>
              <w:t>ing</w:t>
            </w:r>
            <w:r w:rsidR="008E5636" w:rsidRPr="00D07AA6">
              <w:rPr>
                <w:rFonts w:ascii="Arial" w:eastAsia="SimSun" w:hAnsi="Arial" w:cs="Arial"/>
                <w:b/>
                <w:lang w:eastAsia="zh-CN"/>
              </w:rPr>
              <w:t xml:space="preserve"> the above recommendations</w:t>
            </w:r>
            <w:r w:rsidR="00077027" w:rsidRPr="00D07AA6">
              <w:rPr>
                <w:rFonts w:ascii="Arial" w:eastAsia="SimSun" w:hAnsi="Arial" w:cs="Arial"/>
                <w:b/>
                <w:lang w:eastAsia="zh-CN"/>
              </w:rPr>
              <w:t xml:space="preserve">   </w:t>
            </w:r>
            <w:r w:rsidR="00C37C1C" w:rsidRPr="00D07AA6">
              <w:rPr>
                <w:rFonts w:ascii="Arial" w:eastAsia="SimSun" w:hAnsi="Arial" w:cs="Arial"/>
                <w:b/>
                <w:lang w:eastAsia="zh-CN"/>
              </w:rPr>
              <w:t xml:space="preserve">Preporuke prema predloženim </w:t>
            </w:r>
            <w:r w:rsidR="00077027" w:rsidRPr="00D07AA6">
              <w:rPr>
                <w:rFonts w:ascii="Arial" w:eastAsia="SimSun" w:hAnsi="Arial" w:cs="Arial"/>
                <w:b/>
                <w:lang w:eastAsia="zh-CN"/>
              </w:rPr>
              <w:t>rokov</w:t>
            </w:r>
            <w:r w:rsidR="00C37C1C" w:rsidRPr="00D07AA6">
              <w:rPr>
                <w:rFonts w:ascii="Arial" w:eastAsia="SimSun" w:hAnsi="Arial" w:cs="Arial"/>
                <w:b/>
                <w:lang w:eastAsia="zh-CN"/>
              </w:rPr>
              <w:t>ima</w:t>
            </w:r>
            <w:r w:rsidR="00077027" w:rsidRPr="00D07AA6">
              <w:rPr>
                <w:rFonts w:ascii="Arial" w:eastAsia="SimSun" w:hAnsi="Arial" w:cs="Arial"/>
                <w:b/>
                <w:lang w:eastAsia="zh-CN"/>
              </w:rPr>
              <w:t xml:space="preserve"> za provo</w:t>
            </w:r>
            <w:r w:rsidR="00C37C1C" w:rsidRPr="00D07AA6">
              <w:rPr>
                <w:rFonts w:ascii="Arial" w:eastAsia="SimSun" w:hAnsi="Arial" w:cs="Arial"/>
                <w:b/>
                <w:lang w:eastAsia="zh-CN"/>
              </w:rPr>
              <w:t>dbu</w:t>
            </w:r>
          </w:p>
        </w:tc>
      </w:tr>
      <w:tr w:rsidR="00181DC0" w:rsidRPr="00F80FB5" w:rsidTr="00D26613">
        <w:tc>
          <w:tcPr>
            <w:tcW w:w="14765" w:type="dxa"/>
            <w:gridSpan w:val="9"/>
            <w:shd w:val="clear" w:color="auto" w:fill="F2F2F2" w:themeFill="background1" w:themeFillShade="F2"/>
            <w:tcMar>
              <w:top w:w="57" w:type="dxa"/>
              <w:bottom w:w="57" w:type="dxa"/>
            </w:tcMar>
          </w:tcPr>
          <w:p w:rsidR="00181DC0" w:rsidRDefault="00181DC0" w:rsidP="00F46305">
            <w:pPr>
              <w:spacing w:line="276" w:lineRule="auto"/>
              <w:rPr>
                <w:rFonts w:asciiTheme="majorHAnsi" w:hAnsiTheme="majorHAnsi" w:cs="Times New Roman"/>
                <w:b/>
                <w:szCs w:val="16"/>
              </w:rPr>
            </w:pPr>
            <w:r w:rsidRPr="00181DC0">
              <w:rPr>
                <w:rFonts w:asciiTheme="majorHAnsi" w:hAnsiTheme="majorHAnsi" w:cs="Times New Roman"/>
                <w:szCs w:val="16"/>
              </w:rPr>
              <w:t>a. Short term:</w:t>
            </w:r>
            <w:r w:rsidR="00077027">
              <w:rPr>
                <w:rFonts w:asciiTheme="majorHAnsi" w:hAnsiTheme="majorHAnsi" w:cs="Times New Roman"/>
                <w:szCs w:val="16"/>
              </w:rPr>
              <w:t xml:space="preserve">                                                                                            </w:t>
            </w:r>
            <w:r w:rsidR="00F46305">
              <w:rPr>
                <w:rFonts w:asciiTheme="majorHAnsi" w:hAnsiTheme="majorHAnsi" w:cs="Times New Roman"/>
                <w:szCs w:val="16"/>
              </w:rPr>
              <w:t>Kratkoročno</w:t>
            </w:r>
          </w:p>
        </w:tc>
      </w:tr>
      <w:tr w:rsidR="008E5636" w:rsidRPr="00F80FB5" w:rsidTr="00181DC0">
        <w:tc>
          <w:tcPr>
            <w:tcW w:w="562" w:type="dxa"/>
            <w:shd w:val="clear" w:color="auto" w:fill="auto"/>
            <w:tcMar>
              <w:top w:w="57" w:type="dxa"/>
              <w:bottom w:w="57" w:type="dxa"/>
            </w:tcMar>
          </w:tcPr>
          <w:p w:rsidR="008E5636" w:rsidRPr="008E5636" w:rsidRDefault="00181DC0" w:rsidP="008E5636">
            <w:pPr>
              <w:spacing w:line="276" w:lineRule="auto"/>
              <w:rPr>
                <w:rFonts w:asciiTheme="majorHAnsi" w:hAnsiTheme="majorHAnsi" w:cs="Times New Roman"/>
                <w:szCs w:val="16"/>
              </w:rPr>
            </w:pPr>
            <w:r w:rsidRPr="00120B7B">
              <w:rPr>
                <w:rFonts w:asciiTheme="majorHAnsi" w:hAnsiTheme="majorHAnsi" w:cs="Times New Roman"/>
                <w:sz w:val="16"/>
                <w:szCs w:val="16"/>
              </w:rPr>
              <w:t>1</w:t>
            </w:r>
          </w:p>
        </w:tc>
        <w:tc>
          <w:tcPr>
            <w:tcW w:w="5812" w:type="dxa"/>
            <w:gridSpan w:val="2"/>
            <w:shd w:val="clear" w:color="auto" w:fill="auto"/>
          </w:tcPr>
          <w:p w:rsidR="00181DC0" w:rsidRPr="00181DC0" w:rsidRDefault="00A96AA9" w:rsidP="00181DC0">
            <w:pPr>
              <w:spacing w:line="276" w:lineRule="auto"/>
              <w:jc w:val="both"/>
              <w:rPr>
                <w:rFonts w:ascii="Arial" w:eastAsia="SimSun" w:hAnsi="Arial" w:cs="Arial"/>
                <w:lang w:eastAsia="zh-CN"/>
              </w:rPr>
            </w:pPr>
            <w:r>
              <w:rPr>
                <w:rFonts w:ascii="Arial" w:eastAsia="SimSun" w:hAnsi="Arial" w:cs="Arial"/>
                <w:lang w:eastAsia="zh-CN"/>
              </w:rPr>
              <w:t>S</w:t>
            </w:r>
            <w:r w:rsidRPr="00181DC0">
              <w:rPr>
                <w:rFonts w:ascii="Arial" w:eastAsia="SimSun" w:hAnsi="Arial" w:cs="Arial"/>
                <w:lang w:eastAsia="zh-CN"/>
              </w:rPr>
              <w:t>ignificantly</w:t>
            </w:r>
            <w:r>
              <w:rPr>
                <w:rFonts w:ascii="Arial" w:eastAsia="SimSun" w:hAnsi="Arial" w:cs="Arial"/>
                <w:lang w:eastAsia="zh-CN"/>
              </w:rPr>
              <w:t xml:space="preserve"> d</w:t>
            </w:r>
            <w:r w:rsidR="00181DC0" w:rsidRPr="00181DC0">
              <w:rPr>
                <w:rFonts w:ascii="Arial" w:eastAsia="SimSun" w:hAnsi="Arial" w:cs="Arial"/>
                <w:lang w:eastAsia="zh-CN"/>
              </w:rPr>
              <w:t xml:space="preserve">ecrease the input/weight of quantitative criteria and increase </w:t>
            </w:r>
            <w:r w:rsidRPr="00181DC0">
              <w:rPr>
                <w:rFonts w:ascii="Arial" w:eastAsia="SimSun" w:hAnsi="Arial" w:cs="Arial"/>
                <w:lang w:eastAsia="zh-CN"/>
              </w:rPr>
              <w:t>proportion</w:t>
            </w:r>
            <w:r>
              <w:rPr>
                <w:rFonts w:ascii="Arial" w:eastAsia="SimSun" w:hAnsi="Arial" w:cs="Arial"/>
                <w:lang w:eastAsia="zh-CN"/>
              </w:rPr>
              <w:t>ately</w:t>
            </w:r>
            <w:r w:rsidR="00181DC0" w:rsidRPr="00181DC0">
              <w:rPr>
                <w:rFonts w:ascii="Arial" w:eastAsia="SimSun" w:hAnsi="Arial" w:cs="Arial"/>
                <w:lang w:eastAsia="zh-CN"/>
              </w:rPr>
              <w:t xml:space="preserve"> the input/weight of the qualitative aspect by evaluating 15 written and reasoned decisions (five presented, ten randomly selected) </w:t>
            </w:r>
            <w:r>
              <w:rPr>
                <w:rFonts w:ascii="Arial" w:eastAsia="SimSun" w:hAnsi="Arial" w:cs="Arial"/>
                <w:lang w:eastAsia="zh-CN"/>
              </w:rPr>
              <w:t>from</w:t>
            </w:r>
            <w:r w:rsidR="00181DC0" w:rsidRPr="00181DC0">
              <w:rPr>
                <w:rFonts w:ascii="Arial" w:eastAsia="SimSun" w:hAnsi="Arial" w:cs="Arial"/>
                <w:lang w:eastAsia="zh-CN"/>
              </w:rPr>
              <w:t xml:space="preserve"> the aspects of:</w:t>
            </w:r>
          </w:p>
          <w:p w:rsidR="00181DC0" w:rsidRPr="00181DC0" w:rsidRDefault="00181DC0" w:rsidP="00181DC0">
            <w:pPr>
              <w:spacing w:line="276" w:lineRule="auto"/>
              <w:jc w:val="both"/>
              <w:rPr>
                <w:rFonts w:ascii="Arial" w:eastAsia="SimSun" w:hAnsi="Arial" w:cs="Arial"/>
                <w:lang w:eastAsia="zh-CN"/>
              </w:rPr>
            </w:pPr>
            <w:r w:rsidRPr="00181DC0">
              <w:rPr>
                <w:rFonts w:ascii="Arial" w:eastAsia="SimSun" w:hAnsi="Arial" w:cs="Arial"/>
                <w:lang w:eastAsia="zh-CN"/>
              </w:rPr>
              <w:lastRenderedPageBreak/>
              <w:t xml:space="preserve">      - formal adequacy</w:t>
            </w:r>
          </w:p>
          <w:p w:rsidR="00181DC0" w:rsidRPr="00181DC0" w:rsidRDefault="00181DC0" w:rsidP="00181DC0">
            <w:pPr>
              <w:spacing w:line="276" w:lineRule="auto"/>
              <w:jc w:val="both"/>
              <w:rPr>
                <w:rFonts w:ascii="Arial" w:eastAsia="SimSun" w:hAnsi="Arial" w:cs="Arial"/>
                <w:lang w:eastAsia="zh-CN"/>
              </w:rPr>
            </w:pPr>
            <w:r w:rsidRPr="00181DC0">
              <w:rPr>
                <w:rFonts w:ascii="Arial" w:eastAsia="SimSun" w:hAnsi="Arial" w:cs="Arial"/>
                <w:lang w:eastAsia="zh-CN"/>
              </w:rPr>
              <w:t xml:space="preserve">      - clear establishing of facts</w:t>
            </w:r>
          </w:p>
          <w:p w:rsidR="00181DC0" w:rsidRPr="00181DC0" w:rsidRDefault="00181DC0" w:rsidP="00181DC0">
            <w:pPr>
              <w:spacing w:line="276" w:lineRule="auto"/>
              <w:jc w:val="both"/>
              <w:rPr>
                <w:rFonts w:ascii="Arial" w:eastAsia="SimSun" w:hAnsi="Arial" w:cs="Arial"/>
                <w:lang w:eastAsia="zh-CN"/>
              </w:rPr>
            </w:pPr>
            <w:r w:rsidRPr="00181DC0">
              <w:rPr>
                <w:rFonts w:ascii="Arial" w:eastAsia="SimSun" w:hAnsi="Arial" w:cs="Arial"/>
                <w:lang w:eastAsia="zh-CN"/>
              </w:rPr>
              <w:t xml:space="preserve">      - consistency of the arguments in the reasoning of the decision</w:t>
            </w:r>
          </w:p>
          <w:p w:rsidR="008E5636" w:rsidRPr="00181DC0" w:rsidRDefault="00181DC0" w:rsidP="00181DC0">
            <w:pPr>
              <w:spacing w:line="276" w:lineRule="auto"/>
              <w:jc w:val="both"/>
              <w:rPr>
                <w:rFonts w:ascii="Arial" w:eastAsia="SimSun" w:hAnsi="Arial" w:cs="Arial"/>
                <w:lang w:eastAsia="zh-CN"/>
              </w:rPr>
            </w:pPr>
            <w:r w:rsidRPr="00181DC0">
              <w:rPr>
                <w:rFonts w:ascii="Arial" w:eastAsia="SimSun" w:hAnsi="Arial" w:cs="Arial"/>
                <w:lang w:eastAsia="zh-CN"/>
              </w:rPr>
              <w:t xml:space="preserve">      and by evaluating the verbal skills.</w:t>
            </w:r>
          </w:p>
        </w:tc>
        <w:tc>
          <w:tcPr>
            <w:tcW w:w="5954" w:type="dxa"/>
            <w:gridSpan w:val="3"/>
            <w:shd w:val="clear" w:color="auto" w:fill="auto"/>
          </w:tcPr>
          <w:p w:rsidR="00077027" w:rsidRPr="00077027" w:rsidRDefault="00077027" w:rsidP="00077027">
            <w:pPr>
              <w:spacing w:line="276" w:lineRule="auto"/>
              <w:jc w:val="both"/>
              <w:rPr>
                <w:rFonts w:ascii="Arial" w:eastAsia="SimSun" w:hAnsi="Arial" w:cs="Arial"/>
                <w:lang w:val="hr-HR" w:eastAsia="zh-CN"/>
              </w:rPr>
            </w:pPr>
            <w:r w:rsidRPr="00077027">
              <w:rPr>
                <w:rFonts w:ascii="Arial" w:eastAsia="SimSun" w:hAnsi="Arial" w:cs="Arial"/>
                <w:lang w:val="hr-HR" w:eastAsia="zh-CN"/>
              </w:rPr>
              <w:lastRenderedPageBreak/>
              <w:t>Značajno smanjiti značaj/težinu kvantitativnih kriterija i srazmjerno povećati značaj/težinu kvalitativnog aspekta, tako što će se vršiti ocjena 15 pisanih i obrazloženih odluka (pet dostavljenih i deset nasumično odabranih) sa aspekata:</w:t>
            </w:r>
          </w:p>
          <w:p w:rsidR="00077027" w:rsidRPr="00077027" w:rsidRDefault="00077027" w:rsidP="00077027">
            <w:pPr>
              <w:spacing w:line="276" w:lineRule="auto"/>
              <w:jc w:val="both"/>
              <w:rPr>
                <w:rFonts w:ascii="Arial" w:eastAsia="SimSun" w:hAnsi="Arial" w:cs="Arial"/>
                <w:lang w:val="hr-HR" w:eastAsia="zh-CN"/>
              </w:rPr>
            </w:pPr>
            <w:r w:rsidRPr="00077027">
              <w:rPr>
                <w:rFonts w:ascii="Arial" w:eastAsia="SimSun" w:hAnsi="Arial" w:cs="Arial"/>
                <w:lang w:val="hr-HR" w:eastAsia="zh-CN"/>
              </w:rPr>
              <w:lastRenderedPageBreak/>
              <w:t xml:space="preserve">      - </w:t>
            </w:r>
            <w:r w:rsidR="00930AE6">
              <w:rPr>
                <w:rFonts w:ascii="Arial" w:eastAsia="SimSun" w:hAnsi="Arial" w:cs="Arial"/>
                <w:lang w:val="hr-HR" w:eastAsia="zh-CN"/>
              </w:rPr>
              <w:t>ispunjenja</w:t>
            </w:r>
            <w:r w:rsidRPr="00077027">
              <w:rPr>
                <w:rFonts w:ascii="Arial" w:eastAsia="SimSun" w:hAnsi="Arial" w:cs="Arial"/>
                <w:lang w:val="hr-HR" w:eastAsia="zh-CN"/>
              </w:rPr>
              <w:t xml:space="preserve"> formalnih pretpostavki </w:t>
            </w:r>
          </w:p>
          <w:p w:rsidR="00077027" w:rsidRPr="00077027" w:rsidRDefault="00077027" w:rsidP="00077027">
            <w:pPr>
              <w:spacing w:line="276" w:lineRule="auto"/>
              <w:jc w:val="both"/>
              <w:rPr>
                <w:rFonts w:ascii="Arial" w:eastAsia="SimSun" w:hAnsi="Arial" w:cs="Arial"/>
                <w:lang w:val="hr-HR" w:eastAsia="zh-CN"/>
              </w:rPr>
            </w:pPr>
            <w:r w:rsidRPr="00077027">
              <w:rPr>
                <w:rFonts w:ascii="Arial" w:eastAsia="SimSun" w:hAnsi="Arial" w:cs="Arial"/>
                <w:lang w:val="hr-HR" w:eastAsia="zh-CN"/>
              </w:rPr>
              <w:t xml:space="preserve">      - jasnoće sa kojom su utvrđene činjenice</w:t>
            </w:r>
          </w:p>
          <w:p w:rsidR="00077027" w:rsidRPr="00077027" w:rsidRDefault="00077027" w:rsidP="00077027">
            <w:pPr>
              <w:spacing w:line="276" w:lineRule="auto"/>
              <w:jc w:val="both"/>
              <w:rPr>
                <w:rFonts w:ascii="Arial" w:eastAsia="SimSun" w:hAnsi="Arial" w:cs="Arial"/>
                <w:lang w:val="hr-HR" w:eastAsia="zh-CN"/>
              </w:rPr>
            </w:pPr>
            <w:r w:rsidRPr="00077027">
              <w:rPr>
                <w:rFonts w:ascii="Arial" w:eastAsia="SimSun" w:hAnsi="Arial" w:cs="Arial"/>
                <w:lang w:val="hr-HR" w:eastAsia="zh-CN"/>
              </w:rPr>
              <w:t xml:space="preserve">      -</w:t>
            </w:r>
            <w:r w:rsidR="005A3E97">
              <w:rPr>
                <w:rFonts w:ascii="Arial" w:eastAsia="SimSun" w:hAnsi="Arial" w:cs="Arial"/>
                <w:lang w:val="hr-HR" w:eastAsia="zh-CN"/>
              </w:rPr>
              <w:t xml:space="preserve"> </w:t>
            </w:r>
            <w:r w:rsidRPr="00077027">
              <w:rPr>
                <w:rFonts w:ascii="Arial" w:eastAsia="SimSun" w:hAnsi="Arial" w:cs="Arial"/>
                <w:lang w:val="hr-HR" w:eastAsia="zh-CN"/>
              </w:rPr>
              <w:t xml:space="preserve">dosljednosti argumentacije u obrazloženju odluke, </w:t>
            </w:r>
          </w:p>
          <w:p w:rsidR="008E5636" w:rsidRPr="00181DC0" w:rsidRDefault="00077027" w:rsidP="00181DC0">
            <w:pPr>
              <w:spacing w:line="276" w:lineRule="auto"/>
              <w:jc w:val="both"/>
              <w:rPr>
                <w:rFonts w:ascii="Arial" w:eastAsia="SimSun" w:hAnsi="Arial" w:cs="Arial"/>
                <w:lang w:val="hr-HR" w:eastAsia="zh-CN"/>
              </w:rPr>
            </w:pPr>
            <w:r w:rsidRPr="00077027">
              <w:rPr>
                <w:rFonts w:ascii="Arial" w:eastAsia="SimSun" w:hAnsi="Arial" w:cs="Arial"/>
                <w:lang w:val="hr-HR" w:eastAsia="zh-CN"/>
              </w:rPr>
              <w:t xml:space="preserve">      kao i  procjenom verbalnih vještina.</w:t>
            </w:r>
          </w:p>
        </w:tc>
        <w:tc>
          <w:tcPr>
            <w:tcW w:w="2437" w:type="dxa"/>
            <w:gridSpan w:val="3"/>
            <w:shd w:val="clear" w:color="auto" w:fill="auto"/>
          </w:tcPr>
          <w:p w:rsidR="008E5636" w:rsidRPr="00181DC0" w:rsidRDefault="008E5636" w:rsidP="00181DC0">
            <w:pPr>
              <w:spacing w:line="276" w:lineRule="auto"/>
              <w:jc w:val="both"/>
              <w:rPr>
                <w:rFonts w:ascii="Arial" w:eastAsia="SimSun" w:hAnsi="Arial" w:cs="Arial"/>
                <w:lang w:val="hr-HR" w:eastAsia="zh-CN"/>
              </w:rPr>
            </w:pPr>
          </w:p>
        </w:tc>
      </w:tr>
      <w:tr w:rsidR="00181DC0" w:rsidRPr="00F80FB5" w:rsidTr="00181DC0">
        <w:tc>
          <w:tcPr>
            <w:tcW w:w="562" w:type="dxa"/>
            <w:shd w:val="clear" w:color="auto" w:fill="auto"/>
            <w:tcMar>
              <w:top w:w="57" w:type="dxa"/>
              <w:bottom w:w="57" w:type="dxa"/>
            </w:tcMar>
          </w:tcPr>
          <w:p w:rsidR="00181DC0" w:rsidRDefault="00181DC0" w:rsidP="008E5636">
            <w:pPr>
              <w:spacing w:line="276" w:lineRule="auto"/>
              <w:rPr>
                <w:rFonts w:asciiTheme="majorHAnsi" w:hAnsiTheme="majorHAnsi" w:cs="Times New Roman"/>
                <w:szCs w:val="16"/>
              </w:rPr>
            </w:pPr>
            <w:r w:rsidRPr="00181DC0">
              <w:rPr>
                <w:rFonts w:asciiTheme="majorHAnsi" w:hAnsiTheme="majorHAnsi" w:cs="Times New Roman"/>
                <w:sz w:val="16"/>
                <w:szCs w:val="16"/>
              </w:rPr>
              <w:t>2</w:t>
            </w:r>
          </w:p>
        </w:tc>
        <w:tc>
          <w:tcPr>
            <w:tcW w:w="5812" w:type="dxa"/>
            <w:gridSpan w:val="2"/>
            <w:shd w:val="clear" w:color="auto" w:fill="auto"/>
          </w:tcPr>
          <w:p w:rsidR="00181DC0" w:rsidRPr="00181DC0" w:rsidRDefault="00181DC0" w:rsidP="00181DC0">
            <w:pPr>
              <w:spacing w:line="276" w:lineRule="auto"/>
              <w:jc w:val="both"/>
              <w:rPr>
                <w:rFonts w:ascii="Arial" w:eastAsia="SimSun" w:hAnsi="Arial" w:cs="Arial"/>
                <w:lang w:eastAsia="zh-CN"/>
              </w:rPr>
            </w:pPr>
            <w:r w:rsidRPr="00181DC0">
              <w:rPr>
                <w:rFonts w:ascii="Arial" w:eastAsia="SimSun" w:hAnsi="Arial" w:cs="Arial"/>
                <w:lang w:eastAsia="zh-CN"/>
              </w:rPr>
              <w:t>Prolong the period of appraisals to three years</w:t>
            </w:r>
          </w:p>
        </w:tc>
        <w:tc>
          <w:tcPr>
            <w:tcW w:w="5954" w:type="dxa"/>
            <w:gridSpan w:val="3"/>
            <w:shd w:val="clear" w:color="auto" w:fill="auto"/>
          </w:tcPr>
          <w:p w:rsidR="00181DC0" w:rsidRPr="00181DC0" w:rsidRDefault="00F46305" w:rsidP="00F46305">
            <w:pPr>
              <w:spacing w:line="276" w:lineRule="auto"/>
              <w:jc w:val="both"/>
              <w:rPr>
                <w:rFonts w:ascii="Arial" w:eastAsia="SimSun" w:hAnsi="Arial" w:cs="Arial"/>
                <w:lang w:val="hr-HR" w:eastAsia="zh-CN"/>
              </w:rPr>
            </w:pPr>
            <w:r w:rsidRPr="00F46305">
              <w:rPr>
                <w:rFonts w:ascii="Arial" w:eastAsia="SimSun" w:hAnsi="Arial" w:cs="Arial"/>
                <w:lang w:val="hr-HR" w:eastAsia="zh-CN"/>
              </w:rPr>
              <w:t>Produž</w:t>
            </w:r>
            <w:r>
              <w:rPr>
                <w:rFonts w:ascii="Arial" w:eastAsia="SimSun" w:hAnsi="Arial" w:cs="Arial"/>
                <w:lang w:val="hr-HR" w:eastAsia="zh-CN"/>
              </w:rPr>
              <w:t>iti period</w:t>
            </w:r>
            <w:r w:rsidRPr="00F46305">
              <w:rPr>
                <w:rFonts w:ascii="Arial" w:eastAsia="SimSun" w:hAnsi="Arial" w:cs="Arial"/>
                <w:lang w:val="hr-HR" w:eastAsia="zh-CN"/>
              </w:rPr>
              <w:t xml:space="preserve"> ocjenjivanja na tri godine</w:t>
            </w:r>
          </w:p>
        </w:tc>
        <w:tc>
          <w:tcPr>
            <w:tcW w:w="2437" w:type="dxa"/>
            <w:gridSpan w:val="3"/>
            <w:shd w:val="clear" w:color="auto" w:fill="auto"/>
          </w:tcPr>
          <w:p w:rsidR="00181DC0" w:rsidRPr="00181DC0" w:rsidRDefault="00181DC0" w:rsidP="00181DC0">
            <w:pPr>
              <w:spacing w:line="276" w:lineRule="auto"/>
              <w:jc w:val="both"/>
              <w:rPr>
                <w:rFonts w:ascii="Arial" w:eastAsia="SimSun" w:hAnsi="Arial" w:cs="Arial"/>
                <w:lang w:val="hr-HR" w:eastAsia="zh-CN"/>
              </w:rPr>
            </w:pPr>
          </w:p>
        </w:tc>
      </w:tr>
      <w:tr w:rsidR="00181DC0" w:rsidRPr="00F80FB5" w:rsidTr="00181DC0">
        <w:tc>
          <w:tcPr>
            <w:tcW w:w="562" w:type="dxa"/>
            <w:shd w:val="clear" w:color="auto" w:fill="auto"/>
            <w:tcMar>
              <w:top w:w="57" w:type="dxa"/>
              <w:bottom w:w="57" w:type="dxa"/>
            </w:tcMar>
          </w:tcPr>
          <w:p w:rsidR="00181DC0" w:rsidRDefault="00181DC0" w:rsidP="008E5636">
            <w:pPr>
              <w:spacing w:line="276" w:lineRule="auto"/>
              <w:rPr>
                <w:rFonts w:asciiTheme="majorHAnsi" w:hAnsiTheme="majorHAnsi" w:cs="Times New Roman"/>
                <w:szCs w:val="16"/>
              </w:rPr>
            </w:pPr>
            <w:r w:rsidRPr="00181DC0">
              <w:rPr>
                <w:rFonts w:asciiTheme="majorHAnsi" w:hAnsiTheme="majorHAnsi" w:cs="Times New Roman"/>
                <w:sz w:val="16"/>
                <w:szCs w:val="16"/>
              </w:rPr>
              <w:t>3</w:t>
            </w:r>
          </w:p>
        </w:tc>
        <w:tc>
          <w:tcPr>
            <w:tcW w:w="5812" w:type="dxa"/>
            <w:gridSpan w:val="2"/>
            <w:shd w:val="clear" w:color="auto" w:fill="auto"/>
          </w:tcPr>
          <w:p w:rsidR="00181DC0" w:rsidRPr="00181DC0" w:rsidRDefault="00181DC0" w:rsidP="00181DC0">
            <w:pPr>
              <w:spacing w:line="276" w:lineRule="auto"/>
              <w:jc w:val="both"/>
              <w:rPr>
                <w:rFonts w:ascii="Arial" w:eastAsia="SimSun" w:hAnsi="Arial" w:cs="Arial"/>
                <w:lang w:eastAsia="zh-CN"/>
              </w:rPr>
            </w:pPr>
            <w:r w:rsidRPr="00181DC0">
              <w:rPr>
                <w:rFonts w:ascii="Arial" w:eastAsia="SimSun" w:hAnsi="Arial" w:cs="Arial"/>
                <w:lang w:eastAsia="zh-CN"/>
              </w:rPr>
              <w:t>Establish an Evaluation Committee within the HJCP out of members with judicial and prosecutorial professional experience to decide about the final grades based on the formalized proposals of the evaluators.</w:t>
            </w:r>
          </w:p>
        </w:tc>
        <w:tc>
          <w:tcPr>
            <w:tcW w:w="5954" w:type="dxa"/>
            <w:gridSpan w:val="3"/>
            <w:shd w:val="clear" w:color="auto" w:fill="auto"/>
          </w:tcPr>
          <w:p w:rsidR="00181DC0" w:rsidRPr="00181DC0" w:rsidRDefault="00F46305" w:rsidP="00F46305">
            <w:pPr>
              <w:spacing w:line="276" w:lineRule="auto"/>
              <w:jc w:val="both"/>
              <w:rPr>
                <w:rFonts w:ascii="Arial" w:eastAsia="SimSun" w:hAnsi="Arial" w:cs="Arial"/>
                <w:lang w:val="hr-HR" w:eastAsia="zh-CN"/>
              </w:rPr>
            </w:pPr>
            <w:r w:rsidRPr="00F46305">
              <w:rPr>
                <w:rFonts w:ascii="Arial" w:eastAsia="SimSun" w:hAnsi="Arial" w:cs="Arial"/>
                <w:lang w:val="hr-HR" w:eastAsia="zh-CN"/>
              </w:rPr>
              <w:t>Uspostav</w:t>
            </w:r>
            <w:r>
              <w:rPr>
                <w:rFonts w:ascii="Arial" w:eastAsia="SimSun" w:hAnsi="Arial" w:cs="Arial"/>
                <w:lang w:val="hr-HR" w:eastAsia="zh-CN"/>
              </w:rPr>
              <w:t xml:space="preserve">iti </w:t>
            </w:r>
            <w:r w:rsidRPr="00F46305">
              <w:rPr>
                <w:rFonts w:ascii="Arial" w:eastAsia="SimSun" w:hAnsi="Arial" w:cs="Arial"/>
                <w:lang w:val="hr-HR" w:eastAsia="zh-CN"/>
              </w:rPr>
              <w:t>komisij</w:t>
            </w:r>
            <w:r>
              <w:rPr>
                <w:rFonts w:ascii="Arial" w:eastAsia="SimSun" w:hAnsi="Arial" w:cs="Arial"/>
                <w:lang w:val="hr-HR" w:eastAsia="zh-CN"/>
              </w:rPr>
              <w:t>u</w:t>
            </w:r>
            <w:r w:rsidRPr="00F46305">
              <w:rPr>
                <w:rFonts w:ascii="Arial" w:eastAsia="SimSun" w:hAnsi="Arial" w:cs="Arial"/>
                <w:lang w:val="hr-HR" w:eastAsia="zh-CN"/>
              </w:rPr>
              <w:t xml:space="preserve"> za ocjenjivanje unutar VSTV-a, sastavljenog od članova sa sudijskim i tužilačkim iskustvom koji će odlučivati o konačnoj ocjeni na osnovu formaliziranih prijedloga ocjenjivača.</w:t>
            </w:r>
          </w:p>
        </w:tc>
        <w:tc>
          <w:tcPr>
            <w:tcW w:w="2437" w:type="dxa"/>
            <w:gridSpan w:val="3"/>
            <w:shd w:val="clear" w:color="auto" w:fill="auto"/>
          </w:tcPr>
          <w:p w:rsidR="00181DC0" w:rsidRPr="00181DC0" w:rsidRDefault="00181DC0" w:rsidP="00181DC0">
            <w:pPr>
              <w:spacing w:line="276" w:lineRule="auto"/>
              <w:jc w:val="both"/>
              <w:rPr>
                <w:rFonts w:ascii="Arial" w:eastAsia="SimSun" w:hAnsi="Arial" w:cs="Arial"/>
                <w:lang w:val="hr-HR" w:eastAsia="zh-CN"/>
              </w:rPr>
            </w:pPr>
          </w:p>
        </w:tc>
      </w:tr>
      <w:tr w:rsidR="00181DC0" w:rsidRPr="00F80FB5" w:rsidTr="001D0F0A">
        <w:tc>
          <w:tcPr>
            <w:tcW w:w="14765" w:type="dxa"/>
            <w:gridSpan w:val="9"/>
            <w:shd w:val="clear" w:color="auto" w:fill="auto"/>
            <w:tcMar>
              <w:top w:w="57" w:type="dxa"/>
              <w:bottom w:w="57" w:type="dxa"/>
            </w:tcMar>
          </w:tcPr>
          <w:p w:rsidR="00181DC0" w:rsidRPr="00181DC0" w:rsidRDefault="00181DC0" w:rsidP="00F46305">
            <w:pPr>
              <w:spacing w:line="276" w:lineRule="auto"/>
              <w:jc w:val="both"/>
              <w:rPr>
                <w:rFonts w:asciiTheme="majorHAnsi" w:hAnsiTheme="majorHAnsi" w:cs="Times New Roman"/>
                <w:szCs w:val="16"/>
              </w:rPr>
            </w:pPr>
            <w:r w:rsidRPr="00181DC0">
              <w:rPr>
                <w:rFonts w:asciiTheme="majorHAnsi" w:hAnsiTheme="majorHAnsi" w:cs="Times New Roman"/>
                <w:szCs w:val="16"/>
              </w:rPr>
              <w:t>b. Middle term:</w:t>
            </w:r>
            <w:r w:rsidR="00F46305">
              <w:rPr>
                <w:rFonts w:asciiTheme="majorHAnsi" w:hAnsiTheme="majorHAnsi" w:cs="Times New Roman"/>
                <w:szCs w:val="16"/>
              </w:rPr>
              <w:t xml:space="preserve">                                                                                         </w:t>
            </w:r>
            <w:r w:rsidR="00F46305" w:rsidRPr="00F46305">
              <w:rPr>
                <w:rFonts w:asciiTheme="majorHAnsi" w:hAnsiTheme="majorHAnsi" w:cs="Times New Roman"/>
                <w:szCs w:val="16"/>
                <w:lang w:val="hr-HR"/>
              </w:rPr>
              <w:t xml:space="preserve"> </w:t>
            </w:r>
            <w:r w:rsidR="00F46305">
              <w:rPr>
                <w:rFonts w:asciiTheme="majorHAnsi" w:hAnsiTheme="majorHAnsi" w:cs="Times New Roman"/>
                <w:szCs w:val="16"/>
                <w:lang w:val="hr-HR"/>
              </w:rPr>
              <w:t>S</w:t>
            </w:r>
            <w:r w:rsidR="00F46305" w:rsidRPr="00F46305">
              <w:rPr>
                <w:rFonts w:asciiTheme="majorHAnsi" w:hAnsiTheme="majorHAnsi" w:cs="Times New Roman"/>
                <w:szCs w:val="16"/>
                <w:lang w:val="hr-HR"/>
              </w:rPr>
              <w:t>rednjoročno</w:t>
            </w:r>
          </w:p>
        </w:tc>
      </w:tr>
      <w:tr w:rsidR="00181DC0" w:rsidRPr="00F80FB5" w:rsidTr="00181DC0">
        <w:tc>
          <w:tcPr>
            <w:tcW w:w="562" w:type="dxa"/>
            <w:shd w:val="clear" w:color="auto" w:fill="auto"/>
            <w:tcMar>
              <w:top w:w="57" w:type="dxa"/>
              <w:bottom w:w="57" w:type="dxa"/>
            </w:tcMar>
          </w:tcPr>
          <w:p w:rsidR="00181DC0" w:rsidRPr="00181DC0" w:rsidRDefault="00181DC0" w:rsidP="008E5636">
            <w:pPr>
              <w:spacing w:line="276" w:lineRule="auto"/>
              <w:rPr>
                <w:rFonts w:asciiTheme="majorHAnsi" w:hAnsiTheme="majorHAnsi" w:cs="Times New Roman"/>
                <w:b/>
                <w:szCs w:val="16"/>
              </w:rPr>
            </w:pPr>
            <w:r w:rsidRPr="00181DC0">
              <w:rPr>
                <w:rFonts w:asciiTheme="majorHAnsi" w:hAnsiTheme="majorHAnsi" w:cs="Times New Roman"/>
                <w:sz w:val="16"/>
                <w:szCs w:val="16"/>
              </w:rPr>
              <w:t>1</w:t>
            </w:r>
          </w:p>
        </w:tc>
        <w:tc>
          <w:tcPr>
            <w:tcW w:w="5812" w:type="dxa"/>
            <w:gridSpan w:val="2"/>
            <w:shd w:val="clear" w:color="auto" w:fill="auto"/>
          </w:tcPr>
          <w:p w:rsidR="00181DC0" w:rsidRPr="00181DC0" w:rsidRDefault="00181DC0" w:rsidP="00181DC0">
            <w:pPr>
              <w:spacing w:line="276" w:lineRule="auto"/>
              <w:jc w:val="both"/>
              <w:rPr>
                <w:rFonts w:asciiTheme="majorHAnsi" w:hAnsiTheme="majorHAnsi" w:cs="Times New Roman"/>
                <w:b/>
                <w:szCs w:val="16"/>
              </w:rPr>
            </w:pPr>
            <w:r w:rsidRPr="00181DC0">
              <w:rPr>
                <w:rFonts w:ascii="Arial" w:eastAsia="SimSun" w:hAnsi="Arial" w:cs="Arial"/>
                <w:bCs/>
                <w:lang w:eastAsia="zh-CN"/>
              </w:rPr>
              <w:t>Make sure, that under the aspect of appraisals there is no longer an indirect discrimination of judges/prosecutors in mainly managerial positions</w:t>
            </w:r>
            <w:r>
              <w:rPr>
                <w:rFonts w:ascii="Arial" w:eastAsia="SimSun" w:hAnsi="Arial" w:cs="Arial"/>
                <w:bCs/>
                <w:lang w:eastAsia="zh-CN"/>
              </w:rPr>
              <w:t>.</w:t>
            </w:r>
          </w:p>
        </w:tc>
        <w:tc>
          <w:tcPr>
            <w:tcW w:w="5954" w:type="dxa"/>
            <w:gridSpan w:val="3"/>
            <w:shd w:val="clear" w:color="auto" w:fill="auto"/>
          </w:tcPr>
          <w:p w:rsidR="00181DC0" w:rsidRPr="00181DC0" w:rsidRDefault="00F46305" w:rsidP="00181DC0">
            <w:pPr>
              <w:spacing w:line="276" w:lineRule="auto"/>
              <w:jc w:val="both"/>
              <w:rPr>
                <w:rFonts w:asciiTheme="majorHAnsi" w:hAnsiTheme="majorHAnsi" w:cs="Times New Roman"/>
                <w:b/>
                <w:szCs w:val="16"/>
              </w:rPr>
            </w:pPr>
            <w:r w:rsidRPr="00F46305">
              <w:rPr>
                <w:rFonts w:ascii="Arial" w:eastAsia="SimSun" w:hAnsi="Arial" w:cs="Arial"/>
                <w:bCs/>
                <w:lang w:eastAsia="zh-CN"/>
              </w:rPr>
              <w:t>Osigurati da se sa aspekta ocjenjivanja više ne vrši posredna diskriminacija sudija/tužilaca koji uglavnom obnašaju rukovodne pozicije.</w:t>
            </w:r>
          </w:p>
        </w:tc>
        <w:tc>
          <w:tcPr>
            <w:tcW w:w="2437" w:type="dxa"/>
            <w:gridSpan w:val="3"/>
            <w:shd w:val="clear" w:color="auto" w:fill="auto"/>
          </w:tcPr>
          <w:p w:rsidR="00181DC0" w:rsidRPr="00181DC0" w:rsidRDefault="00181DC0" w:rsidP="00181DC0">
            <w:pPr>
              <w:spacing w:line="276" w:lineRule="auto"/>
              <w:jc w:val="both"/>
              <w:rPr>
                <w:rFonts w:asciiTheme="majorHAnsi" w:hAnsiTheme="majorHAnsi" w:cs="Times New Roman"/>
                <w:b/>
                <w:szCs w:val="16"/>
              </w:rPr>
            </w:pPr>
          </w:p>
        </w:tc>
      </w:tr>
      <w:tr w:rsidR="00181DC0" w:rsidRPr="00F80FB5" w:rsidTr="00413402">
        <w:tc>
          <w:tcPr>
            <w:tcW w:w="14765" w:type="dxa"/>
            <w:gridSpan w:val="9"/>
            <w:shd w:val="clear" w:color="auto" w:fill="auto"/>
            <w:tcMar>
              <w:top w:w="57" w:type="dxa"/>
              <w:bottom w:w="57" w:type="dxa"/>
            </w:tcMar>
          </w:tcPr>
          <w:p w:rsidR="00181DC0" w:rsidRPr="00181DC0" w:rsidRDefault="00181DC0" w:rsidP="00181DC0">
            <w:pPr>
              <w:spacing w:line="276" w:lineRule="auto"/>
              <w:jc w:val="both"/>
              <w:rPr>
                <w:rFonts w:asciiTheme="majorHAnsi" w:hAnsiTheme="majorHAnsi" w:cs="Times New Roman"/>
                <w:szCs w:val="16"/>
              </w:rPr>
            </w:pPr>
            <w:r w:rsidRPr="00181DC0">
              <w:rPr>
                <w:rFonts w:asciiTheme="majorHAnsi" w:hAnsiTheme="majorHAnsi" w:cs="Times New Roman"/>
                <w:szCs w:val="16"/>
              </w:rPr>
              <w:t>c. Long term:</w:t>
            </w:r>
            <w:r w:rsidR="00F46305">
              <w:rPr>
                <w:rFonts w:asciiTheme="majorHAnsi" w:hAnsiTheme="majorHAnsi" w:cs="Times New Roman"/>
                <w:szCs w:val="16"/>
              </w:rPr>
              <w:t xml:space="preserve">                                                                   </w:t>
            </w:r>
            <w:r w:rsidR="00C37C1C">
              <w:rPr>
                <w:rFonts w:asciiTheme="majorHAnsi" w:hAnsiTheme="majorHAnsi" w:cs="Times New Roman"/>
                <w:szCs w:val="16"/>
              </w:rPr>
              <w:t xml:space="preserve">                          D</w:t>
            </w:r>
            <w:r w:rsidR="00F46305">
              <w:rPr>
                <w:rFonts w:asciiTheme="majorHAnsi" w:hAnsiTheme="majorHAnsi" w:cs="Times New Roman"/>
                <w:szCs w:val="16"/>
              </w:rPr>
              <w:t>ugoročno</w:t>
            </w:r>
          </w:p>
        </w:tc>
      </w:tr>
      <w:tr w:rsidR="00181DC0" w:rsidRPr="00F80FB5" w:rsidTr="00181DC0">
        <w:tc>
          <w:tcPr>
            <w:tcW w:w="562" w:type="dxa"/>
            <w:shd w:val="clear" w:color="auto" w:fill="auto"/>
            <w:tcMar>
              <w:top w:w="57" w:type="dxa"/>
              <w:bottom w:w="57" w:type="dxa"/>
            </w:tcMar>
          </w:tcPr>
          <w:p w:rsidR="00181DC0" w:rsidRPr="00181DC0" w:rsidRDefault="00181DC0" w:rsidP="008E5636">
            <w:pPr>
              <w:spacing w:line="276" w:lineRule="auto"/>
              <w:rPr>
                <w:rFonts w:asciiTheme="majorHAnsi" w:hAnsiTheme="majorHAnsi" w:cs="Times New Roman"/>
                <w:sz w:val="16"/>
                <w:szCs w:val="16"/>
              </w:rPr>
            </w:pPr>
            <w:r w:rsidRPr="00181DC0">
              <w:rPr>
                <w:rFonts w:asciiTheme="majorHAnsi" w:hAnsiTheme="majorHAnsi" w:cs="Times New Roman"/>
                <w:sz w:val="16"/>
                <w:szCs w:val="16"/>
              </w:rPr>
              <w:t>1</w:t>
            </w:r>
          </w:p>
        </w:tc>
        <w:tc>
          <w:tcPr>
            <w:tcW w:w="5812" w:type="dxa"/>
            <w:gridSpan w:val="2"/>
            <w:shd w:val="clear" w:color="auto" w:fill="auto"/>
          </w:tcPr>
          <w:p w:rsidR="00181DC0" w:rsidRPr="00181DC0" w:rsidRDefault="00181DC0" w:rsidP="00181DC0">
            <w:pPr>
              <w:spacing w:line="276" w:lineRule="auto"/>
              <w:jc w:val="both"/>
              <w:rPr>
                <w:rFonts w:ascii="Arial" w:eastAsia="SimSun" w:hAnsi="Arial" w:cs="Arial"/>
                <w:lang w:eastAsia="zh-CN"/>
              </w:rPr>
            </w:pPr>
            <w:r w:rsidRPr="00181DC0">
              <w:rPr>
                <w:rFonts w:ascii="Arial" w:eastAsia="SimSun" w:hAnsi="Arial" w:cs="Arial"/>
                <w:lang w:eastAsia="zh-CN"/>
              </w:rPr>
              <w:t xml:space="preserve">Establishment of a proper judicial career system that coordinates in a harmonious manner transfers, promotion and new appointments on the basis of well-functioning exams and appraisals. </w:t>
            </w:r>
          </w:p>
        </w:tc>
        <w:tc>
          <w:tcPr>
            <w:tcW w:w="5954" w:type="dxa"/>
            <w:gridSpan w:val="3"/>
            <w:shd w:val="clear" w:color="auto" w:fill="auto"/>
          </w:tcPr>
          <w:p w:rsidR="00181DC0" w:rsidRPr="00181DC0" w:rsidRDefault="00F46305" w:rsidP="00C37C1C">
            <w:pPr>
              <w:spacing w:line="276" w:lineRule="auto"/>
              <w:jc w:val="both"/>
              <w:rPr>
                <w:rFonts w:ascii="Arial" w:eastAsia="SimSun" w:hAnsi="Arial" w:cs="Arial"/>
                <w:lang w:val="hr-HR" w:eastAsia="zh-CN"/>
              </w:rPr>
            </w:pPr>
            <w:r w:rsidRPr="00F46305">
              <w:rPr>
                <w:rFonts w:ascii="Arial" w:eastAsia="SimSun" w:hAnsi="Arial" w:cs="Arial"/>
                <w:lang w:val="hr-HR" w:eastAsia="zh-CN"/>
              </w:rPr>
              <w:t>Uspostav</w:t>
            </w:r>
            <w:r w:rsidR="00C37C1C">
              <w:rPr>
                <w:rFonts w:ascii="Arial" w:eastAsia="SimSun" w:hAnsi="Arial" w:cs="Arial"/>
                <w:lang w:val="hr-HR" w:eastAsia="zh-CN"/>
              </w:rPr>
              <w:t xml:space="preserve">iti </w:t>
            </w:r>
            <w:r w:rsidRPr="00F46305">
              <w:rPr>
                <w:rFonts w:ascii="Arial" w:eastAsia="SimSun" w:hAnsi="Arial" w:cs="Arial"/>
                <w:lang w:val="hr-HR" w:eastAsia="zh-CN"/>
              </w:rPr>
              <w:t>odgovarajuć</w:t>
            </w:r>
            <w:r w:rsidR="00C37C1C">
              <w:rPr>
                <w:rFonts w:ascii="Arial" w:eastAsia="SimSun" w:hAnsi="Arial" w:cs="Arial"/>
                <w:lang w:val="hr-HR" w:eastAsia="zh-CN"/>
              </w:rPr>
              <w:t>i</w:t>
            </w:r>
            <w:r w:rsidRPr="00F46305">
              <w:rPr>
                <w:rFonts w:ascii="Arial" w:eastAsia="SimSun" w:hAnsi="Arial" w:cs="Arial"/>
                <w:lang w:val="hr-HR" w:eastAsia="zh-CN"/>
              </w:rPr>
              <w:t xml:space="preserve"> karijern</w:t>
            </w:r>
            <w:r w:rsidR="00C37C1C">
              <w:rPr>
                <w:rFonts w:ascii="Arial" w:eastAsia="SimSun" w:hAnsi="Arial" w:cs="Arial"/>
                <w:lang w:val="hr-HR" w:eastAsia="zh-CN"/>
              </w:rPr>
              <w:t>i sistem</w:t>
            </w:r>
            <w:r w:rsidRPr="00F46305">
              <w:rPr>
                <w:rFonts w:ascii="Arial" w:eastAsia="SimSun" w:hAnsi="Arial" w:cs="Arial"/>
                <w:lang w:val="hr-HR" w:eastAsia="zh-CN"/>
              </w:rPr>
              <w:t xml:space="preserve"> koji će na jedan</w:t>
            </w:r>
            <w:r w:rsidR="00C37C1C">
              <w:rPr>
                <w:rFonts w:ascii="Arial" w:eastAsia="SimSun" w:hAnsi="Arial" w:cs="Arial"/>
                <w:lang w:val="hr-HR" w:eastAsia="zh-CN"/>
              </w:rPr>
              <w:t xml:space="preserve"> </w:t>
            </w:r>
            <w:r w:rsidRPr="00F46305">
              <w:rPr>
                <w:rFonts w:ascii="Arial" w:eastAsia="SimSun" w:hAnsi="Arial" w:cs="Arial"/>
                <w:lang w:val="hr-HR" w:eastAsia="zh-CN"/>
              </w:rPr>
              <w:t xml:space="preserve">harmoničan način omogućiti koordinaciju premještanja, napredovanja i novih imenovanja na osnovu funkcionalnih ispita i ocjenjivanja. </w:t>
            </w:r>
          </w:p>
        </w:tc>
        <w:tc>
          <w:tcPr>
            <w:tcW w:w="2437" w:type="dxa"/>
            <w:gridSpan w:val="3"/>
            <w:shd w:val="clear" w:color="auto" w:fill="auto"/>
          </w:tcPr>
          <w:p w:rsidR="00181DC0" w:rsidRPr="00181DC0" w:rsidRDefault="00181DC0" w:rsidP="00181DC0">
            <w:pPr>
              <w:spacing w:line="276" w:lineRule="auto"/>
              <w:jc w:val="both"/>
              <w:rPr>
                <w:rFonts w:ascii="Arial" w:eastAsia="SimSun" w:hAnsi="Arial" w:cs="Arial"/>
                <w:lang w:val="hr-HR" w:eastAsia="zh-CN"/>
              </w:rPr>
            </w:pPr>
          </w:p>
        </w:tc>
      </w:tr>
    </w:tbl>
    <w:p w:rsidR="009D1136" w:rsidRPr="00F80FB5" w:rsidRDefault="009D1136" w:rsidP="008354CD">
      <w:pPr>
        <w:spacing w:line="276" w:lineRule="auto"/>
        <w:rPr>
          <w:rFonts w:asciiTheme="majorHAnsi" w:hAnsiTheme="majorHAnsi"/>
        </w:rPr>
      </w:pPr>
    </w:p>
    <w:sectPr w:rsidR="009D1136" w:rsidRPr="00F80FB5" w:rsidSect="0015165F">
      <w:pgSz w:w="16817" w:h="11901" w:orient="landscape"/>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DF" w:rsidRDefault="007641DF" w:rsidP="000843D1">
      <w:r>
        <w:separator/>
      </w:r>
    </w:p>
  </w:endnote>
  <w:endnote w:type="continuationSeparator" w:id="0">
    <w:p w:rsidR="007641DF" w:rsidRDefault="007641DF" w:rsidP="0008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DF" w:rsidRDefault="007641DF" w:rsidP="000843D1">
      <w:r>
        <w:separator/>
      </w:r>
    </w:p>
  </w:footnote>
  <w:footnote w:type="continuationSeparator" w:id="0">
    <w:p w:rsidR="007641DF" w:rsidRDefault="007641DF" w:rsidP="0008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D8B"/>
    <w:multiLevelType w:val="hybridMultilevel"/>
    <w:tmpl w:val="73502824"/>
    <w:lvl w:ilvl="0" w:tplc="0D3E846A">
      <w:start w:val="2"/>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4B3715F"/>
    <w:multiLevelType w:val="hybridMultilevel"/>
    <w:tmpl w:val="01C086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F55F28"/>
    <w:multiLevelType w:val="hybridMultilevel"/>
    <w:tmpl w:val="0F1292F8"/>
    <w:lvl w:ilvl="0" w:tplc="63366FDE">
      <w:start w:val="2"/>
      <w:numFmt w:val="bullet"/>
      <w:lvlText w:val="-"/>
      <w:lvlJc w:val="left"/>
      <w:pPr>
        <w:ind w:left="720" w:hanging="360"/>
      </w:pPr>
      <w:rPr>
        <w:rFonts w:ascii="Calibri" w:eastAsia="Times New Roman" w:hAnsi="Calibri"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802348"/>
    <w:multiLevelType w:val="hybridMultilevel"/>
    <w:tmpl w:val="AC6A0F24"/>
    <w:lvl w:ilvl="0" w:tplc="A6E0917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AE06EA"/>
    <w:multiLevelType w:val="hybridMultilevel"/>
    <w:tmpl w:val="89AC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3E690C"/>
    <w:multiLevelType w:val="hybridMultilevel"/>
    <w:tmpl w:val="01C086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DF1AF2"/>
    <w:multiLevelType w:val="hybridMultilevel"/>
    <w:tmpl w:val="C0B8FE78"/>
    <w:lvl w:ilvl="0" w:tplc="A6E0917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F36021F"/>
    <w:multiLevelType w:val="hybridMultilevel"/>
    <w:tmpl w:val="273A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01B0"/>
    <w:multiLevelType w:val="hybridMultilevel"/>
    <w:tmpl w:val="081C68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897DBD"/>
    <w:multiLevelType w:val="hybridMultilevel"/>
    <w:tmpl w:val="0E5C3FC0"/>
    <w:lvl w:ilvl="0" w:tplc="1E981E0A">
      <w:start w:val="1"/>
      <w:numFmt w:val="decimal"/>
      <w:lvlText w:val="%1."/>
      <w:lvlJc w:val="left"/>
      <w:pPr>
        <w:ind w:left="-732" w:hanging="360"/>
      </w:pPr>
      <w:rPr>
        <w:rFonts w:cs="Times New Roman"/>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965A1"/>
    <w:multiLevelType w:val="hybridMultilevel"/>
    <w:tmpl w:val="CE9E0D50"/>
    <w:lvl w:ilvl="0" w:tplc="29DAF60A">
      <w:start w:val="1"/>
      <w:numFmt w:val="lowerLetter"/>
      <w:lvlText w:val="%1."/>
      <w:lvlJc w:val="left"/>
      <w:pPr>
        <w:ind w:left="1145" w:hanging="360"/>
      </w:pPr>
      <w:rPr>
        <w:rFonts w:hint="default"/>
        <w:b/>
        <w:color w:val="FF0000"/>
        <w:sz w:val="20"/>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1" w15:restartNumberingAfterBreak="0">
    <w:nsid w:val="444E325D"/>
    <w:multiLevelType w:val="hybridMultilevel"/>
    <w:tmpl w:val="AAC4BB10"/>
    <w:lvl w:ilvl="0" w:tplc="4C70F0A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D0DE0"/>
    <w:multiLevelType w:val="hybridMultilevel"/>
    <w:tmpl w:val="8E027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9C1FC8"/>
    <w:multiLevelType w:val="hybridMultilevel"/>
    <w:tmpl w:val="52749CAC"/>
    <w:lvl w:ilvl="0" w:tplc="52145116">
      <w:start w:val="1"/>
      <w:numFmt w:val="lowerLetter"/>
      <w:lvlText w:val="%1."/>
      <w:lvlJc w:val="left"/>
      <w:pPr>
        <w:ind w:left="1068" w:hanging="360"/>
      </w:pPr>
      <w:rPr>
        <w:rFonts w:cs="Times New Roman"/>
        <w:b/>
        <w:color w:val="FF0000"/>
      </w:rPr>
    </w:lvl>
    <w:lvl w:ilvl="1" w:tplc="1E981E0A">
      <w:start w:val="1"/>
      <w:numFmt w:val="decimal"/>
      <w:lvlText w:val="%2."/>
      <w:lvlJc w:val="left"/>
      <w:pPr>
        <w:ind w:left="-732" w:hanging="360"/>
      </w:pPr>
      <w:rPr>
        <w:rFonts w:cs="Times New Roman"/>
        <w:b/>
        <w:color w:val="FF0000"/>
      </w:rPr>
    </w:lvl>
    <w:lvl w:ilvl="2" w:tplc="0410001B">
      <w:start w:val="1"/>
      <w:numFmt w:val="lowerRoman"/>
      <w:lvlText w:val="%3."/>
      <w:lvlJc w:val="right"/>
      <w:pPr>
        <w:ind w:left="-12" w:hanging="180"/>
      </w:pPr>
      <w:rPr>
        <w:rFonts w:cs="Times New Roman"/>
      </w:rPr>
    </w:lvl>
    <w:lvl w:ilvl="3" w:tplc="0410000F">
      <w:start w:val="1"/>
      <w:numFmt w:val="decimal"/>
      <w:lvlText w:val="%4."/>
      <w:lvlJc w:val="left"/>
      <w:pPr>
        <w:ind w:left="708" w:hanging="360"/>
      </w:pPr>
      <w:rPr>
        <w:rFonts w:cs="Times New Roman"/>
      </w:rPr>
    </w:lvl>
    <w:lvl w:ilvl="4" w:tplc="04100019">
      <w:start w:val="1"/>
      <w:numFmt w:val="lowerLetter"/>
      <w:lvlText w:val="%5."/>
      <w:lvlJc w:val="left"/>
      <w:pPr>
        <w:ind w:left="1428" w:hanging="360"/>
      </w:pPr>
      <w:rPr>
        <w:rFonts w:cs="Times New Roman"/>
      </w:rPr>
    </w:lvl>
    <w:lvl w:ilvl="5" w:tplc="0410001B" w:tentative="1">
      <w:start w:val="1"/>
      <w:numFmt w:val="lowerRoman"/>
      <w:lvlText w:val="%6."/>
      <w:lvlJc w:val="right"/>
      <w:pPr>
        <w:ind w:left="2148" w:hanging="180"/>
      </w:pPr>
      <w:rPr>
        <w:rFonts w:cs="Times New Roman"/>
      </w:rPr>
    </w:lvl>
    <w:lvl w:ilvl="6" w:tplc="0410000F" w:tentative="1">
      <w:start w:val="1"/>
      <w:numFmt w:val="decimal"/>
      <w:lvlText w:val="%7."/>
      <w:lvlJc w:val="left"/>
      <w:pPr>
        <w:ind w:left="2868" w:hanging="360"/>
      </w:pPr>
      <w:rPr>
        <w:rFonts w:cs="Times New Roman"/>
      </w:rPr>
    </w:lvl>
    <w:lvl w:ilvl="7" w:tplc="04100019" w:tentative="1">
      <w:start w:val="1"/>
      <w:numFmt w:val="lowerLetter"/>
      <w:lvlText w:val="%8."/>
      <w:lvlJc w:val="left"/>
      <w:pPr>
        <w:ind w:left="3588" w:hanging="360"/>
      </w:pPr>
      <w:rPr>
        <w:rFonts w:cs="Times New Roman"/>
      </w:rPr>
    </w:lvl>
    <w:lvl w:ilvl="8" w:tplc="0410001B" w:tentative="1">
      <w:start w:val="1"/>
      <w:numFmt w:val="lowerRoman"/>
      <w:lvlText w:val="%9."/>
      <w:lvlJc w:val="right"/>
      <w:pPr>
        <w:ind w:left="4308" w:hanging="180"/>
      </w:pPr>
      <w:rPr>
        <w:rFonts w:cs="Times New Roman"/>
      </w:rPr>
    </w:lvl>
  </w:abstractNum>
  <w:abstractNum w:abstractNumId="14" w15:restartNumberingAfterBreak="0">
    <w:nsid w:val="5BAA6256"/>
    <w:multiLevelType w:val="hybridMultilevel"/>
    <w:tmpl w:val="8676E6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0539A1"/>
    <w:multiLevelType w:val="hybridMultilevel"/>
    <w:tmpl w:val="CE9E0D50"/>
    <w:lvl w:ilvl="0" w:tplc="29DAF60A">
      <w:start w:val="1"/>
      <w:numFmt w:val="lowerLetter"/>
      <w:lvlText w:val="%1."/>
      <w:lvlJc w:val="left"/>
      <w:pPr>
        <w:ind w:left="1145" w:hanging="360"/>
      </w:pPr>
      <w:rPr>
        <w:rFonts w:hint="default"/>
        <w:b/>
        <w:color w:val="FF0000"/>
        <w:sz w:val="20"/>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6" w15:restartNumberingAfterBreak="0">
    <w:nsid w:val="60513DF4"/>
    <w:multiLevelType w:val="hybridMultilevel"/>
    <w:tmpl w:val="39DE7720"/>
    <w:lvl w:ilvl="0" w:tplc="B2E0DF2C">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611102DC"/>
    <w:multiLevelType w:val="hybridMultilevel"/>
    <w:tmpl w:val="82021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1543E2"/>
    <w:multiLevelType w:val="hybridMultilevel"/>
    <w:tmpl w:val="CE9E0D50"/>
    <w:lvl w:ilvl="0" w:tplc="29DAF60A">
      <w:start w:val="1"/>
      <w:numFmt w:val="lowerLetter"/>
      <w:lvlText w:val="%1."/>
      <w:lvlJc w:val="left"/>
      <w:pPr>
        <w:ind w:left="1145" w:hanging="360"/>
      </w:pPr>
      <w:rPr>
        <w:rFonts w:hint="default"/>
        <w:b/>
        <w:color w:val="FF0000"/>
        <w:sz w:val="20"/>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6A4B0391"/>
    <w:multiLevelType w:val="hybridMultilevel"/>
    <w:tmpl w:val="4D74F174"/>
    <w:lvl w:ilvl="0" w:tplc="6DFCC038">
      <w:start w:val="1"/>
      <w:numFmt w:val="decimal"/>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37745D"/>
    <w:multiLevelType w:val="hybridMultilevel"/>
    <w:tmpl w:val="80D86D46"/>
    <w:lvl w:ilvl="0" w:tplc="04070011">
      <w:start w:val="1"/>
      <w:numFmt w:val="decimal"/>
      <w:lvlText w:val="%1)"/>
      <w:lvlJc w:val="left"/>
      <w:pPr>
        <w:ind w:left="360" w:hanging="360"/>
      </w:pPr>
      <w:rPr>
        <w:b/>
        <w:color w:val="FF0000"/>
      </w:rPr>
    </w:lvl>
    <w:lvl w:ilvl="1" w:tplc="04070011">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A4041B7"/>
    <w:multiLevelType w:val="hybridMultilevel"/>
    <w:tmpl w:val="9DA410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2C1806"/>
    <w:multiLevelType w:val="hybridMultilevel"/>
    <w:tmpl w:val="669263D0"/>
    <w:lvl w:ilvl="0" w:tplc="6A0EF76C">
      <w:start w:val="1"/>
      <w:numFmt w:val="lowerLetter"/>
      <w:lvlText w:val="%1."/>
      <w:lvlJc w:val="left"/>
      <w:pPr>
        <w:tabs>
          <w:tab w:val="num" w:pos="1020"/>
        </w:tabs>
        <w:ind w:left="1020" w:hanging="360"/>
      </w:pPr>
      <w:rPr>
        <w:rFonts w:cs="Times New Roman" w:hint="default"/>
        <w:b/>
        <w:i w:val="0"/>
        <w:color w:val="FF0000"/>
      </w:rPr>
    </w:lvl>
    <w:lvl w:ilvl="1" w:tplc="B9E05A56">
      <w:start w:val="1"/>
      <w:numFmt w:val="lowerLetter"/>
      <w:lvlText w:val="%2."/>
      <w:lvlJc w:val="left"/>
      <w:pPr>
        <w:tabs>
          <w:tab w:val="num" w:pos="660"/>
        </w:tabs>
        <w:ind w:left="660" w:hanging="360"/>
      </w:pPr>
      <w:rPr>
        <w:rFonts w:hint="default"/>
        <w:b/>
        <w:i w:val="0"/>
        <w:color w:val="4F81BD"/>
        <w:sz w:val="22"/>
        <w:szCs w:val="18"/>
      </w:rPr>
    </w:lvl>
    <w:lvl w:ilvl="2" w:tplc="6E042860">
      <w:start w:val="1"/>
      <w:numFmt w:val="bullet"/>
      <w:lvlText w:val=""/>
      <w:lvlJc w:val="left"/>
      <w:pPr>
        <w:tabs>
          <w:tab w:val="num" w:pos="660"/>
        </w:tabs>
        <w:ind w:left="660" w:hanging="360"/>
      </w:pPr>
      <w:rPr>
        <w:rFonts w:ascii="Wingdings" w:hAnsi="Wingdings" w:hint="default"/>
        <w:b/>
        <w:i w:val="0"/>
        <w:color w:val="0000FF"/>
      </w:rPr>
    </w:lvl>
    <w:lvl w:ilvl="3" w:tplc="B6A2D96E">
      <w:start w:val="1"/>
      <w:numFmt w:val="lowerLetter"/>
      <w:lvlText w:val="%4."/>
      <w:lvlJc w:val="left"/>
      <w:pPr>
        <w:tabs>
          <w:tab w:val="num" w:pos="2100"/>
        </w:tabs>
        <w:ind w:left="2100" w:hanging="360"/>
      </w:pPr>
      <w:rPr>
        <w:rFonts w:hint="default"/>
        <w:b/>
        <w:i w:val="0"/>
        <w:color w:val="FF0000"/>
        <w:sz w:val="20"/>
      </w:rPr>
    </w:lvl>
    <w:lvl w:ilvl="4" w:tplc="A23EA52C">
      <w:start w:val="1"/>
      <w:numFmt w:val="lowerLetter"/>
      <w:lvlText w:val="%5."/>
      <w:lvlJc w:val="left"/>
      <w:pPr>
        <w:tabs>
          <w:tab w:val="num" w:pos="2820"/>
        </w:tabs>
        <w:ind w:left="2820" w:hanging="360"/>
      </w:pPr>
      <w:rPr>
        <w:rFonts w:cs="Times New Roman"/>
        <w:b/>
        <w:color w:val="FF0000"/>
      </w:rPr>
    </w:lvl>
    <w:lvl w:ilvl="5" w:tplc="0410001B" w:tentative="1">
      <w:start w:val="1"/>
      <w:numFmt w:val="lowerRoman"/>
      <w:lvlText w:val="%6."/>
      <w:lvlJc w:val="right"/>
      <w:pPr>
        <w:tabs>
          <w:tab w:val="num" w:pos="3540"/>
        </w:tabs>
        <w:ind w:left="3540" w:hanging="180"/>
      </w:pPr>
      <w:rPr>
        <w:rFonts w:cs="Times New Roman"/>
      </w:rPr>
    </w:lvl>
    <w:lvl w:ilvl="6" w:tplc="0410000F" w:tentative="1">
      <w:start w:val="1"/>
      <w:numFmt w:val="decimal"/>
      <w:lvlText w:val="%7."/>
      <w:lvlJc w:val="left"/>
      <w:pPr>
        <w:tabs>
          <w:tab w:val="num" w:pos="4260"/>
        </w:tabs>
        <w:ind w:left="4260" w:hanging="360"/>
      </w:pPr>
      <w:rPr>
        <w:rFonts w:cs="Times New Roman"/>
      </w:rPr>
    </w:lvl>
    <w:lvl w:ilvl="7" w:tplc="04100019" w:tentative="1">
      <w:start w:val="1"/>
      <w:numFmt w:val="lowerLetter"/>
      <w:lvlText w:val="%8."/>
      <w:lvlJc w:val="left"/>
      <w:pPr>
        <w:tabs>
          <w:tab w:val="num" w:pos="4980"/>
        </w:tabs>
        <w:ind w:left="4980" w:hanging="360"/>
      </w:pPr>
      <w:rPr>
        <w:rFonts w:cs="Times New Roman"/>
      </w:rPr>
    </w:lvl>
    <w:lvl w:ilvl="8" w:tplc="0410001B" w:tentative="1">
      <w:start w:val="1"/>
      <w:numFmt w:val="lowerRoman"/>
      <w:lvlText w:val="%9."/>
      <w:lvlJc w:val="right"/>
      <w:pPr>
        <w:tabs>
          <w:tab w:val="num" w:pos="5700"/>
        </w:tabs>
        <w:ind w:left="5700" w:hanging="180"/>
      </w:pPr>
      <w:rPr>
        <w:rFonts w:cs="Times New Roman"/>
      </w:rPr>
    </w:lvl>
  </w:abstractNum>
  <w:num w:numId="1">
    <w:abstractNumId w:val="2"/>
  </w:num>
  <w:num w:numId="2">
    <w:abstractNumId w:val="14"/>
  </w:num>
  <w:num w:numId="3">
    <w:abstractNumId w:val="19"/>
  </w:num>
  <w:num w:numId="4">
    <w:abstractNumId w:val="5"/>
  </w:num>
  <w:num w:numId="5">
    <w:abstractNumId w:val="1"/>
  </w:num>
  <w:num w:numId="6">
    <w:abstractNumId w:val="4"/>
  </w:num>
  <w:num w:numId="7">
    <w:abstractNumId w:val="7"/>
  </w:num>
  <w:num w:numId="8">
    <w:abstractNumId w:val="17"/>
  </w:num>
  <w:num w:numId="9">
    <w:abstractNumId w:val="12"/>
  </w:num>
  <w:num w:numId="10">
    <w:abstractNumId w:val="21"/>
  </w:num>
  <w:num w:numId="11">
    <w:abstractNumId w:val="6"/>
  </w:num>
  <w:num w:numId="12">
    <w:abstractNumId w:val="3"/>
  </w:num>
  <w:num w:numId="13">
    <w:abstractNumId w:val="11"/>
  </w:num>
  <w:num w:numId="14">
    <w:abstractNumId w:val="8"/>
  </w:num>
  <w:num w:numId="15">
    <w:abstractNumId w:val="20"/>
  </w:num>
  <w:num w:numId="16">
    <w:abstractNumId w:val="16"/>
  </w:num>
  <w:num w:numId="17">
    <w:abstractNumId w:val="13"/>
  </w:num>
  <w:num w:numId="18">
    <w:abstractNumId w:val="18"/>
  </w:num>
  <w:num w:numId="19">
    <w:abstractNumId w:val="15"/>
  </w:num>
  <w:num w:numId="20">
    <w:abstractNumId w:val="10"/>
  </w:num>
  <w:num w:numId="21">
    <w:abstractNumId w:val="9"/>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36"/>
    <w:rsid w:val="00000513"/>
    <w:rsid w:val="00000C23"/>
    <w:rsid w:val="00001A97"/>
    <w:rsid w:val="000067E0"/>
    <w:rsid w:val="00006F2D"/>
    <w:rsid w:val="000124C3"/>
    <w:rsid w:val="00017F56"/>
    <w:rsid w:val="00037238"/>
    <w:rsid w:val="0004221D"/>
    <w:rsid w:val="00043DE2"/>
    <w:rsid w:val="00044B5C"/>
    <w:rsid w:val="0004600C"/>
    <w:rsid w:val="0005359F"/>
    <w:rsid w:val="00053DAC"/>
    <w:rsid w:val="00053E4B"/>
    <w:rsid w:val="00055A53"/>
    <w:rsid w:val="00057389"/>
    <w:rsid w:val="00057A99"/>
    <w:rsid w:val="00057EBF"/>
    <w:rsid w:val="0006136D"/>
    <w:rsid w:val="00077027"/>
    <w:rsid w:val="000843D1"/>
    <w:rsid w:val="00090617"/>
    <w:rsid w:val="00093385"/>
    <w:rsid w:val="00095BC3"/>
    <w:rsid w:val="000B2832"/>
    <w:rsid w:val="000B379F"/>
    <w:rsid w:val="000B5B49"/>
    <w:rsid w:val="000D1E61"/>
    <w:rsid w:val="000D3D16"/>
    <w:rsid w:val="000D547D"/>
    <w:rsid w:val="000D594B"/>
    <w:rsid w:val="000E79DF"/>
    <w:rsid w:val="000F213F"/>
    <w:rsid w:val="000F44B8"/>
    <w:rsid w:val="00111AC2"/>
    <w:rsid w:val="0011671A"/>
    <w:rsid w:val="00117364"/>
    <w:rsid w:val="00120B7B"/>
    <w:rsid w:val="0012255F"/>
    <w:rsid w:val="001245D8"/>
    <w:rsid w:val="00124741"/>
    <w:rsid w:val="001268E0"/>
    <w:rsid w:val="00130047"/>
    <w:rsid w:val="00140FA9"/>
    <w:rsid w:val="00141490"/>
    <w:rsid w:val="00146B1B"/>
    <w:rsid w:val="00147108"/>
    <w:rsid w:val="0015165F"/>
    <w:rsid w:val="001518CD"/>
    <w:rsid w:val="00151F4D"/>
    <w:rsid w:val="00152626"/>
    <w:rsid w:val="00160FA6"/>
    <w:rsid w:val="0016196A"/>
    <w:rsid w:val="001659C6"/>
    <w:rsid w:val="001750FD"/>
    <w:rsid w:val="00181DC0"/>
    <w:rsid w:val="00182C1B"/>
    <w:rsid w:val="001928BC"/>
    <w:rsid w:val="00194613"/>
    <w:rsid w:val="001A27D5"/>
    <w:rsid w:val="001A53E2"/>
    <w:rsid w:val="001B0DB7"/>
    <w:rsid w:val="001B21AF"/>
    <w:rsid w:val="001B2251"/>
    <w:rsid w:val="001B2365"/>
    <w:rsid w:val="001B2679"/>
    <w:rsid w:val="001B4CC7"/>
    <w:rsid w:val="001B517F"/>
    <w:rsid w:val="001B574D"/>
    <w:rsid w:val="001B63B0"/>
    <w:rsid w:val="001B76EC"/>
    <w:rsid w:val="001C2748"/>
    <w:rsid w:val="001D08F2"/>
    <w:rsid w:val="001D3F2C"/>
    <w:rsid w:val="001D61BA"/>
    <w:rsid w:val="001E4D98"/>
    <w:rsid w:val="001E6B6A"/>
    <w:rsid w:val="001E6D38"/>
    <w:rsid w:val="001F5A7C"/>
    <w:rsid w:val="001F76BF"/>
    <w:rsid w:val="0020407E"/>
    <w:rsid w:val="00210E8F"/>
    <w:rsid w:val="002124CA"/>
    <w:rsid w:val="00212599"/>
    <w:rsid w:val="00215AA9"/>
    <w:rsid w:val="00220E60"/>
    <w:rsid w:val="00221480"/>
    <w:rsid w:val="002217E3"/>
    <w:rsid w:val="00224442"/>
    <w:rsid w:val="00224E36"/>
    <w:rsid w:val="002301FF"/>
    <w:rsid w:val="00231806"/>
    <w:rsid w:val="00233B52"/>
    <w:rsid w:val="0023740A"/>
    <w:rsid w:val="0024680C"/>
    <w:rsid w:val="002611A8"/>
    <w:rsid w:val="00275225"/>
    <w:rsid w:val="00281573"/>
    <w:rsid w:val="00282C70"/>
    <w:rsid w:val="002846F4"/>
    <w:rsid w:val="002963D3"/>
    <w:rsid w:val="002A252D"/>
    <w:rsid w:val="002B07C2"/>
    <w:rsid w:val="002C248A"/>
    <w:rsid w:val="002D06A2"/>
    <w:rsid w:val="002D25D4"/>
    <w:rsid w:val="002E06C0"/>
    <w:rsid w:val="002E2824"/>
    <w:rsid w:val="002E3D3E"/>
    <w:rsid w:val="002E430B"/>
    <w:rsid w:val="002E4E8D"/>
    <w:rsid w:val="002F4519"/>
    <w:rsid w:val="002F67E2"/>
    <w:rsid w:val="002F691F"/>
    <w:rsid w:val="003030FB"/>
    <w:rsid w:val="003117EE"/>
    <w:rsid w:val="00316761"/>
    <w:rsid w:val="00325A20"/>
    <w:rsid w:val="0032644A"/>
    <w:rsid w:val="00333478"/>
    <w:rsid w:val="00341702"/>
    <w:rsid w:val="00342975"/>
    <w:rsid w:val="0034620F"/>
    <w:rsid w:val="00346F19"/>
    <w:rsid w:val="0035411C"/>
    <w:rsid w:val="003615EF"/>
    <w:rsid w:val="00364033"/>
    <w:rsid w:val="003657E7"/>
    <w:rsid w:val="003709A0"/>
    <w:rsid w:val="00373071"/>
    <w:rsid w:val="003738A2"/>
    <w:rsid w:val="00374B04"/>
    <w:rsid w:val="00374B88"/>
    <w:rsid w:val="00381FD4"/>
    <w:rsid w:val="00385A0F"/>
    <w:rsid w:val="00386C9A"/>
    <w:rsid w:val="003919A6"/>
    <w:rsid w:val="0039296E"/>
    <w:rsid w:val="0039727C"/>
    <w:rsid w:val="00397AF8"/>
    <w:rsid w:val="003A14CF"/>
    <w:rsid w:val="003A39ED"/>
    <w:rsid w:val="003A3AD1"/>
    <w:rsid w:val="003A561C"/>
    <w:rsid w:val="003A6B3B"/>
    <w:rsid w:val="003B2398"/>
    <w:rsid w:val="003B264F"/>
    <w:rsid w:val="003B2D22"/>
    <w:rsid w:val="003B31F7"/>
    <w:rsid w:val="003C1CF0"/>
    <w:rsid w:val="003C4A2A"/>
    <w:rsid w:val="003C50F4"/>
    <w:rsid w:val="003C57D2"/>
    <w:rsid w:val="003C7E5D"/>
    <w:rsid w:val="003D1389"/>
    <w:rsid w:val="003D2383"/>
    <w:rsid w:val="003D2CFC"/>
    <w:rsid w:val="003D3549"/>
    <w:rsid w:val="003D5680"/>
    <w:rsid w:val="003D59D1"/>
    <w:rsid w:val="003D6E93"/>
    <w:rsid w:val="003D7F80"/>
    <w:rsid w:val="003E6EE9"/>
    <w:rsid w:val="003F2832"/>
    <w:rsid w:val="003F7629"/>
    <w:rsid w:val="004006BA"/>
    <w:rsid w:val="00404F13"/>
    <w:rsid w:val="00405DE2"/>
    <w:rsid w:val="00413629"/>
    <w:rsid w:val="00417A68"/>
    <w:rsid w:val="0042573C"/>
    <w:rsid w:val="0042793E"/>
    <w:rsid w:val="0043543C"/>
    <w:rsid w:val="004373A5"/>
    <w:rsid w:val="004375E0"/>
    <w:rsid w:val="004400AA"/>
    <w:rsid w:val="00446A1F"/>
    <w:rsid w:val="0045215A"/>
    <w:rsid w:val="00452F8B"/>
    <w:rsid w:val="00461E7E"/>
    <w:rsid w:val="0046318E"/>
    <w:rsid w:val="00463CC7"/>
    <w:rsid w:val="00467385"/>
    <w:rsid w:val="00470842"/>
    <w:rsid w:val="00471B32"/>
    <w:rsid w:val="00473287"/>
    <w:rsid w:val="00474547"/>
    <w:rsid w:val="00477518"/>
    <w:rsid w:val="004800F1"/>
    <w:rsid w:val="004801EA"/>
    <w:rsid w:val="00485269"/>
    <w:rsid w:val="00486F02"/>
    <w:rsid w:val="0048780B"/>
    <w:rsid w:val="00487A47"/>
    <w:rsid w:val="004A0DC5"/>
    <w:rsid w:val="004A20A0"/>
    <w:rsid w:val="004A4076"/>
    <w:rsid w:val="004A50E6"/>
    <w:rsid w:val="004A5473"/>
    <w:rsid w:val="004A5BF4"/>
    <w:rsid w:val="004A5E3A"/>
    <w:rsid w:val="004B2DD3"/>
    <w:rsid w:val="004B765F"/>
    <w:rsid w:val="004B7E4E"/>
    <w:rsid w:val="004C04C1"/>
    <w:rsid w:val="004D0314"/>
    <w:rsid w:val="004D0501"/>
    <w:rsid w:val="004D3309"/>
    <w:rsid w:val="004D619F"/>
    <w:rsid w:val="004E5457"/>
    <w:rsid w:val="004E7BC8"/>
    <w:rsid w:val="004F2973"/>
    <w:rsid w:val="00500271"/>
    <w:rsid w:val="0050468E"/>
    <w:rsid w:val="005140CF"/>
    <w:rsid w:val="00515DC0"/>
    <w:rsid w:val="00524A06"/>
    <w:rsid w:val="005266FD"/>
    <w:rsid w:val="0053556E"/>
    <w:rsid w:val="005378B4"/>
    <w:rsid w:val="005449F1"/>
    <w:rsid w:val="00545C50"/>
    <w:rsid w:val="005502BF"/>
    <w:rsid w:val="00551811"/>
    <w:rsid w:val="00560202"/>
    <w:rsid w:val="005602D5"/>
    <w:rsid w:val="00562026"/>
    <w:rsid w:val="00562213"/>
    <w:rsid w:val="00563BE0"/>
    <w:rsid w:val="005772E9"/>
    <w:rsid w:val="00577BA5"/>
    <w:rsid w:val="0058493B"/>
    <w:rsid w:val="00585153"/>
    <w:rsid w:val="00585970"/>
    <w:rsid w:val="00587828"/>
    <w:rsid w:val="005915FD"/>
    <w:rsid w:val="00592D0D"/>
    <w:rsid w:val="00597CFA"/>
    <w:rsid w:val="005A030C"/>
    <w:rsid w:val="005A3B9F"/>
    <w:rsid w:val="005A3E97"/>
    <w:rsid w:val="005B4233"/>
    <w:rsid w:val="005B5BC4"/>
    <w:rsid w:val="005C260D"/>
    <w:rsid w:val="005C5AFA"/>
    <w:rsid w:val="005D0532"/>
    <w:rsid w:val="005D1614"/>
    <w:rsid w:val="005D2BEF"/>
    <w:rsid w:val="005E0100"/>
    <w:rsid w:val="005E2DB2"/>
    <w:rsid w:val="005F2172"/>
    <w:rsid w:val="005F21F7"/>
    <w:rsid w:val="005F35AD"/>
    <w:rsid w:val="005F3FA9"/>
    <w:rsid w:val="005F63FC"/>
    <w:rsid w:val="005F78BA"/>
    <w:rsid w:val="0060223D"/>
    <w:rsid w:val="00604F15"/>
    <w:rsid w:val="00605251"/>
    <w:rsid w:val="00607133"/>
    <w:rsid w:val="006129C6"/>
    <w:rsid w:val="00612C34"/>
    <w:rsid w:val="006144EA"/>
    <w:rsid w:val="00617817"/>
    <w:rsid w:val="0062014D"/>
    <w:rsid w:val="006203E4"/>
    <w:rsid w:val="006222C4"/>
    <w:rsid w:val="00634F6F"/>
    <w:rsid w:val="00635E0C"/>
    <w:rsid w:val="00642690"/>
    <w:rsid w:val="006517F9"/>
    <w:rsid w:val="00652869"/>
    <w:rsid w:val="00652EFE"/>
    <w:rsid w:val="00653145"/>
    <w:rsid w:val="0065338B"/>
    <w:rsid w:val="00655A32"/>
    <w:rsid w:val="0066188D"/>
    <w:rsid w:val="00665E76"/>
    <w:rsid w:val="006717DA"/>
    <w:rsid w:val="00676A7F"/>
    <w:rsid w:val="006811C5"/>
    <w:rsid w:val="00682B9E"/>
    <w:rsid w:val="006A33AD"/>
    <w:rsid w:val="006A699B"/>
    <w:rsid w:val="006A724E"/>
    <w:rsid w:val="006B2045"/>
    <w:rsid w:val="006B21AA"/>
    <w:rsid w:val="006B2565"/>
    <w:rsid w:val="006C4C4F"/>
    <w:rsid w:val="006C7953"/>
    <w:rsid w:val="006D16B2"/>
    <w:rsid w:val="006D46F7"/>
    <w:rsid w:val="006E578D"/>
    <w:rsid w:val="006F0F7E"/>
    <w:rsid w:val="00703B3A"/>
    <w:rsid w:val="00704F78"/>
    <w:rsid w:val="00707198"/>
    <w:rsid w:val="00707EF8"/>
    <w:rsid w:val="0072236D"/>
    <w:rsid w:val="00723932"/>
    <w:rsid w:val="007243C1"/>
    <w:rsid w:val="007271F6"/>
    <w:rsid w:val="007309EB"/>
    <w:rsid w:val="00731E61"/>
    <w:rsid w:val="007320B5"/>
    <w:rsid w:val="00735D00"/>
    <w:rsid w:val="0074165B"/>
    <w:rsid w:val="00745823"/>
    <w:rsid w:val="00747E9E"/>
    <w:rsid w:val="00752B51"/>
    <w:rsid w:val="00753361"/>
    <w:rsid w:val="00753F0D"/>
    <w:rsid w:val="00753FCD"/>
    <w:rsid w:val="0075780A"/>
    <w:rsid w:val="007602FA"/>
    <w:rsid w:val="0076053B"/>
    <w:rsid w:val="00762C34"/>
    <w:rsid w:val="00763433"/>
    <w:rsid w:val="007641DF"/>
    <w:rsid w:val="00764DA1"/>
    <w:rsid w:val="00777F41"/>
    <w:rsid w:val="00796C93"/>
    <w:rsid w:val="007A7D5A"/>
    <w:rsid w:val="007B7602"/>
    <w:rsid w:val="007C027A"/>
    <w:rsid w:val="007C3ACE"/>
    <w:rsid w:val="007C4843"/>
    <w:rsid w:val="007C5402"/>
    <w:rsid w:val="007C6F64"/>
    <w:rsid w:val="007C742C"/>
    <w:rsid w:val="007C7E5B"/>
    <w:rsid w:val="007D12E4"/>
    <w:rsid w:val="007D713D"/>
    <w:rsid w:val="007F772C"/>
    <w:rsid w:val="007F79B5"/>
    <w:rsid w:val="007F79D0"/>
    <w:rsid w:val="008009E9"/>
    <w:rsid w:val="0080439B"/>
    <w:rsid w:val="00804664"/>
    <w:rsid w:val="00805F92"/>
    <w:rsid w:val="008063A0"/>
    <w:rsid w:val="00807D00"/>
    <w:rsid w:val="008115E7"/>
    <w:rsid w:val="00811790"/>
    <w:rsid w:val="00814AB5"/>
    <w:rsid w:val="00816B0D"/>
    <w:rsid w:val="008354CD"/>
    <w:rsid w:val="0083575A"/>
    <w:rsid w:val="008371F0"/>
    <w:rsid w:val="00842056"/>
    <w:rsid w:val="0084231B"/>
    <w:rsid w:val="0084265A"/>
    <w:rsid w:val="008430EF"/>
    <w:rsid w:val="008439A2"/>
    <w:rsid w:val="00843B41"/>
    <w:rsid w:val="00846093"/>
    <w:rsid w:val="008517E0"/>
    <w:rsid w:val="0085783F"/>
    <w:rsid w:val="008622D5"/>
    <w:rsid w:val="008637AE"/>
    <w:rsid w:val="008677D4"/>
    <w:rsid w:val="008677E0"/>
    <w:rsid w:val="0087525C"/>
    <w:rsid w:val="00880498"/>
    <w:rsid w:val="0088420D"/>
    <w:rsid w:val="00886D58"/>
    <w:rsid w:val="00890EE9"/>
    <w:rsid w:val="0089379B"/>
    <w:rsid w:val="00896DA8"/>
    <w:rsid w:val="008A099C"/>
    <w:rsid w:val="008A2118"/>
    <w:rsid w:val="008A39E4"/>
    <w:rsid w:val="008B19A1"/>
    <w:rsid w:val="008B2F3B"/>
    <w:rsid w:val="008B3AB1"/>
    <w:rsid w:val="008B3CDE"/>
    <w:rsid w:val="008C733C"/>
    <w:rsid w:val="008D2838"/>
    <w:rsid w:val="008E5636"/>
    <w:rsid w:val="008F0241"/>
    <w:rsid w:val="008F1B41"/>
    <w:rsid w:val="00903019"/>
    <w:rsid w:val="00903746"/>
    <w:rsid w:val="00904936"/>
    <w:rsid w:val="00906A56"/>
    <w:rsid w:val="00910EAF"/>
    <w:rsid w:val="00911177"/>
    <w:rsid w:val="00912ABA"/>
    <w:rsid w:val="00914084"/>
    <w:rsid w:val="009149A4"/>
    <w:rsid w:val="009155D3"/>
    <w:rsid w:val="009163C0"/>
    <w:rsid w:val="0092132A"/>
    <w:rsid w:val="0092395B"/>
    <w:rsid w:val="009249CF"/>
    <w:rsid w:val="00930AE6"/>
    <w:rsid w:val="00932CD8"/>
    <w:rsid w:val="009408C2"/>
    <w:rsid w:val="009417F0"/>
    <w:rsid w:val="00950B2F"/>
    <w:rsid w:val="0095105B"/>
    <w:rsid w:val="00957974"/>
    <w:rsid w:val="009655F7"/>
    <w:rsid w:val="009707C0"/>
    <w:rsid w:val="0097087D"/>
    <w:rsid w:val="0097097A"/>
    <w:rsid w:val="00971CA7"/>
    <w:rsid w:val="00975305"/>
    <w:rsid w:val="00977BFE"/>
    <w:rsid w:val="009812E9"/>
    <w:rsid w:val="00983690"/>
    <w:rsid w:val="00983A24"/>
    <w:rsid w:val="009847BE"/>
    <w:rsid w:val="009931A9"/>
    <w:rsid w:val="00993343"/>
    <w:rsid w:val="00996033"/>
    <w:rsid w:val="009963D6"/>
    <w:rsid w:val="009A1203"/>
    <w:rsid w:val="009A7BD4"/>
    <w:rsid w:val="009B0381"/>
    <w:rsid w:val="009B55BF"/>
    <w:rsid w:val="009C0140"/>
    <w:rsid w:val="009C12EF"/>
    <w:rsid w:val="009C252B"/>
    <w:rsid w:val="009C3E35"/>
    <w:rsid w:val="009D1136"/>
    <w:rsid w:val="009D5817"/>
    <w:rsid w:val="009E454B"/>
    <w:rsid w:val="009F188A"/>
    <w:rsid w:val="009F7664"/>
    <w:rsid w:val="009F7B2A"/>
    <w:rsid w:val="00A0362D"/>
    <w:rsid w:val="00A1335E"/>
    <w:rsid w:val="00A2144C"/>
    <w:rsid w:val="00A30341"/>
    <w:rsid w:val="00A32B35"/>
    <w:rsid w:val="00A440C9"/>
    <w:rsid w:val="00A46387"/>
    <w:rsid w:val="00A51F09"/>
    <w:rsid w:val="00A523C0"/>
    <w:rsid w:val="00A52E85"/>
    <w:rsid w:val="00A5542A"/>
    <w:rsid w:val="00A57742"/>
    <w:rsid w:val="00A57E92"/>
    <w:rsid w:val="00A610F6"/>
    <w:rsid w:val="00A62094"/>
    <w:rsid w:val="00A64D7C"/>
    <w:rsid w:val="00A70141"/>
    <w:rsid w:val="00A7044F"/>
    <w:rsid w:val="00A7655C"/>
    <w:rsid w:val="00A81020"/>
    <w:rsid w:val="00A820C1"/>
    <w:rsid w:val="00A8458C"/>
    <w:rsid w:val="00A853E8"/>
    <w:rsid w:val="00A87DF2"/>
    <w:rsid w:val="00A92311"/>
    <w:rsid w:val="00A92588"/>
    <w:rsid w:val="00A928BB"/>
    <w:rsid w:val="00A94643"/>
    <w:rsid w:val="00A96AA9"/>
    <w:rsid w:val="00AA6254"/>
    <w:rsid w:val="00AB0597"/>
    <w:rsid w:val="00AB568E"/>
    <w:rsid w:val="00AC4675"/>
    <w:rsid w:val="00AC5B81"/>
    <w:rsid w:val="00AC6863"/>
    <w:rsid w:val="00AC7BE1"/>
    <w:rsid w:val="00AD03C5"/>
    <w:rsid w:val="00AD2339"/>
    <w:rsid w:val="00AD6AD7"/>
    <w:rsid w:val="00AE42BE"/>
    <w:rsid w:val="00AE7C66"/>
    <w:rsid w:val="00AF1954"/>
    <w:rsid w:val="00AF6113"/>
    <w:rsid w:val="00B01192"/>
    <w:rsid w:val="00B01A0D"/>
    <w:rsid w:val="00B04B7E"/>
    <w:rsid w:val="00B05FDB"/>
    <w:rsid w:val="00B07149"/>
    <w:rsid w:val="00B11ED0"/>
    <w:rsid w:val="00B14A7E"/>
    <w:rsid w:val="00B17EDB"/>
    <w:rsid w:val="00B211FD"/>
    <w:rsid w:val="00B24EA8"/>
    <w:rsid w:val="00B26B3F"/>
    <w:rsid w:val="00B3599D"/>
    <w:rsid w:val="00B41F53"/>
    <w:rsid w:val="00B442CB"/>
    <w:rsid w:val="00B4591A"/>
    <w:rsid w:val="00B54E1D"/>
    <w:rsid w:val="00B5652A"/>
    <w:rsid w:val="00B639FC"/>
    <w:rsid w:val="00B65E3C"/>
    <w:rsid w:val="00B724D9"/>
    <w:rsid w:val="00B74879"/>
    <w:rsid w:val="00B80796"/>
    <w:rsid w:val="00B82642"/>
    <w:rsid w:val="00B8269B"/>
    <w:rsid w:val="00B83A1E"/>
    <w:rsid w:val="00B85416"/>
    <w:rsid w:val="00B87A80"/>
    <w:rsid w:val="00B9038F"/>
    <w:rsid w:val="00B906E1"/>
    <w:rsid w:val="00B92990"/>
    <w:rsid w:val="00B97C6D"/>
    <w:rsid w:val="00BA4A05"/>
    <w:rsid w:val="00BA596F"/>
    <w:rsid w:val="00BA68E2"/>
    <w:rsid w:val="00BA712E"/>
    <w:rsid w:val="00BA7E88"/>
    <w:rsid w:val="00BB094A"/>
    <w:rsid w:val="00BB0ABC"/>
    <w:rsid w:val="00BB3F15"/>
    <w:rsid w:val="00BB440D"/>
    <w:rsid w:val="00BC21AD"/>
    <w:rsid w:val="00BC759F"/>
    <w:rsid w:val="00BD2687"/>
    <w:rsid w:val="00BD3EB9"/>
    <w:rsid w:val="00BD6C92"/>
    <w:rsid w:val="00BE6939"/>
    <w:rsid w:val="00BF5304"/>
    <w:rsid w:val="00BF55A4"/>
    <w:rsid w:val="00C03096"/>
    <w:rsid w:val="00C03EA3"/>
    <w:rsid w:val="00C07A97"/>
    <w:rsid w:val="00C07E62"/>
    <w:rsid w:val="00C11772"/>
    <w:rsid w:val="00C15C72"/>
    <w:rsid w:val="00C165D9"/>
    <w:rsid w:val="00C21C9C"/>
    <w:rsid w:val="00C240F5"/>
    <w:rsid w:val="00C24FBA"/>
    <w:rsid w:val="00C260A5"/>
    <w:rsid w:val="00C357B1"/>
    <w:rsid w:val="00C37C1C"/>
    <w:rsid w:val="00C402B9"/>
    <w:rsid w:val="00C405F5"/>
    <w:rsid w:val="00C434F8"/>
    <w:rsid w:val="00C44F26"/>
    <w:rsid w:val="00C46BCB"/>
    <w:rsid w:val="00C50FD7"/>
    <w:rsid w:val="00C5208E"/>
    <w:rsid w:val="00C71D65"/>
    <w:rsid w:val="00C73C09"/>
    <w:rsid w:val="00C77836"/>
    <w:rsid w:val="00C82502"/>
    <w:rsid w:val="00C8576F"/>
    <w:rsid w:val="00C8583F"/>
    <w:rsid w:val="00C9038D"/>
    <w:rsid w:val="00C91E2F"/>
    <w:rsid w:val="00C93269"/>
    <w:rsid w:val="00C9713B"/>
    <w:rsid w:val="00CA3AB7"/>
    <w:rsid w:val="00CB0ACC"/>
    <w:rsid w:val="00CC06C9"/>
    <w:rsid w:val="00CC437C"/>
    <w:rsid w:val="00CC5008"/>
    <w:rsid w:val="00CC552A"/>
    <w:rsid w:val="00CC557E"/>
    <w:rsid w:val="00CC6A72"/>
    <w:rsid w:val="00CC71CE"/>
    <w:rsid w:val="00CD0629"/>
    <w:rsid w:val="00CD2ABE"/>
    <w:rsid w:val="00CD2DAE"/>
    <w:rsid w:val="00CD4F97"/>
    <w:rsid w:val="00CE0F8D"/>
    <w:rsid w:val="00CE5F50"/>
    <w:rsid w:val="00CE63EE"/>
    <w:rsid w:val="00CE745F"/>
    <w:rsid w:val="00CF07F7"/>
    <w:rsid w:val="00CF1C2A"/>
    <w:rsid w:val="00CF20AC"/>
    <w:rsid w:val="00CF4C15"/>
    <w:rsid w:val="00CF6319"/>
    <w:rsid w:val="00D01160"/>
    <w:rsid w:val="00D065C3"/>
    <w:rsid w:val="00D06DA3"/>
    <w:rsid w:val="00D0788F"/>
    <w:rsid w:val="00D07AA6"/>
    <w:rsid w:val="00D11A2A"/>
    <w:rsid w:val="00D11FFB"/>
    <w:rsid w:val="00D1235F"/>
    <w:rsid w:val="00D216A5"/>
    <w:rsid w:val="00D21B21"/>
    <w:rsid w:val="00D26613"/>
    <w:rsid w:val="00D30918"/>
    <w:rsid w:val="00D32C18"/>
    <w:rsid w:val="00D35562"/>
    <w:rsid w:val="00D36A57"/>
    <w:rsid w:val="00D40058"/>
    <w:rsid w:val="00D41375"/>
    <w:rsid w:val="00D435D4"/>
    <w:rsid w:val="00D45A02"/>
    <w:rsid w:val="00D4750E"/>
    <w:rsid w:val="00D50972"/>
    <w:rsid w:val="00D52EB0"/>
    <w:rsid w:val="00D53675"/>
    <w:rsid w:val="00D61ED9"/>
    <w:rsid w:val="00D623B7"/>
    <w:rsid w:val="00D639DF"/>
    <w:rsid w:val="00D6542F"/>
    <w:rsid w:val="00D67135"/>
    <w:rsid w:val="00D713A4"/>
    <w:rsid w:val="00D76CD3"/>
    <w:rsid w:val="00D77CC9"/>
    <w:rsid w:val="00D8417A"/>
    <w:rsid w:val="00D84991"/>
    <w:rsid w:val="00D92BF4"/>
    <w:rsid w:val="00D9414C"/>
    <w:rsid w:val="00D94CFC"/>
    <w:rsid w:val="00D95A2D"/>
    <w:rsid w:val="00D97728"/>
    <w:rsid w:val="00DA1CDF"/>
    <w:rsid w:val="00DA26D0"/>
    <w:rsid w:val="00DA2A34"/>
    <w:rsid w:val="00DB543E"/>
    <w:rsid w:val="00DB676B"/>
    <w:rsid w:val="00DC03D7"/>
    <w:rsid w:val="00DC1EA7"/>
    <w:rsid w:val="00DC428B"/>
    <w:rsid w:val="00DC4304"/>
    <w:rsid w:val="00DC5CDB"/>
    <w:rsid w:val="00DC6C77"/>
    <w:rsid w:val="00DD1C18"/>
    <w:rsid w:val="00DD731A"/>
    <w:rsid w:val="00DE126D"/>
    <w:rsid w:val="00DE2FA1"/>
    <w:rsid w:val="00DE4172"/>
    <w:rsid w:val="00DE7965"/>
    <w:rsid w:val="00DF0AAB"/>
    <w:rsid w:val="00DF1589"/>
    <w:rsid w:val="00DF5BC6"/>
    <w:rsid w:val="00DF613E"/>
    <w:rsid w:val="00E06688"/>
    <w:rsid w:val="00E06EC6"/>
    <w:rsid w:val="00E1077F"/>
    <w:rsid w:val="00E13483"/>
    <w:rsid w:val="00E13DB8"/>
    <w:rsid w:val="00E21A32"/>
    <w:rsid w:val="00E3027C"/>
    <w:rsid w:val="00E42078"/>
    <w:rsid w:val="00E51C3A"/>
    <w:rsid w:val="00E51F58"/>
    <w:rsid w:val="00E552ED"/>
    <w:rsid w:val="00E57CF9"/>
    <w:rsid w:val="00E57E24"/>
    <w:rsid w:val="00E71BC6"/>
    <w:rsid w:val="00E72C15"/>
    <w:rsid w:val="00E75733"/>
    <w:rsid w:val="00E83542"/>
    <w:rsid w:val="00E873FC"/>
    <w:rsid w:val="00E91197"/>
    <w:rsid w:val="00E93409"/>
    <w:rsid w:val="00E9366D"/>
    <w:rsid w:val="00E968F6"/>
    <w:rsid w:val="00EA088B"/>
    <w:rsid w:val="00EA2272"/>
    <w:rsid w:val="00EA265F"/>
    <w:rsid w:val="00EA317B"/>
    <w:rsid w:val="00EB0FEF"/>
    <w:rsid w:val="00EB180D"/>
    <w:rsid w:val="00EB3592"/>
    <w:rsid w:val="00EB39FE"/>
    <w:rsid w:val="00EB6577"/>
    <w:rsid w:val="00EB6907"/>
    <w:rsid w:val="00EB7260"/>
    <w:rsid w:val="00EC2D25"/>
    <w:rsid w:val="00EC724F"/>
    <w:rsid w:val="00ED0797"/>
    <w:rsid w:val="00ED084F"/>
    <w:rsid w:val="00ED1966"/>
    <w:rsid w:val="00ED2CD7"/>
    <w:rsid w:val="00ED303F"/>
    <w:rsid w:val="00ED4BBC"/>
    <w:rsid w:val="00ED51A8"/>
    <w:rsid w:val="00EF3BB5"/>
    <w:rsid w:val="00EF44A6"/>
    <w:rsid w:val="00EF552B"/>
    <w:rsid w:val="00EF7661"/>
    <w:rsid w:val="00F01346"/>
    <w:rsid w:val="00F020DD"/>
    <w:rsid w:val="00F072EA"/>
    <w:rsid w:val="00F112E5"/>
    <w:rsid w:val="00F22C1F"/>
    <w:rsid w:val="00F23523"/>
    <w:rsid w:val="00F261AB"/>
    <w:rsid w:val="00F263A7"/>
    <w:rsid w:val="00F27808"/>
    <w:rsid w:val="00F32959"/>
    <w:rsid w:val="00F3452C"/>
    <w:rsid w:val="00F427E8"/>
    <w:rsid w:val="00F431BF"/>
    <w:rsid w:val="00F447D6"/>
    <w:rsid w:val="00F46305"/>
    <w:rsid w:val="00F4730A"/>
    <w:rsid w:val="00F507CD"/>
    <w:rsid w:val="00F554F5"/>
    <w:rsid w:val="00F57A29"/>
    <w:rsid w:val="00F62892"/>
    <w:rsid w:val="00F64B2A"/>
    <w:rsid w:val="00F64D8F"/>
    <w:rsid w:val="00F66C43"/>
    <w:rsid w:val="00F67BD0"/>
    <w:rsid w:val="00F73F62"/>
    <w:rsid w:val="00F74398"/>
    <w:rsid w:val="00F80FB5"/>
    <w:rsid w:val="00F82CDC"/>
    <w:rsid w:val="00F87651"/>
    <w:rsid w:val="00F90BB2"/>
    <w:rsid w:val="00F9353B"/>
    <w:rsid w:val="00F93637"/>
    <w:rsid w:val="00F94EE6"/>
    <w:rsid w:val="00F962B7"/>
    <w:rsid w:val="00FA5432"/>
    <w:rsid w:val="00FA7344"/>
    <w:rsid w:val="00FB015C"/>
    <w:rsid w:val="00FB042D"/>
    <w:rsid w:val="00FB1CCF"/>
    <w:rsid w:val="00FB21F5"/>
    <w:rsid w:val="00FB3204"/>
    <w:rsid w:val="00FB3A34"/>
    <w:rsid w:val="00FB7745"/>
    <w:rsid w:val="00FB7D75"/>
    <w:rsid w:val="00FC0930"/>
    <w:rsid w:val="00FC74B2"/>
    <w:rsid w:val="00FD31B9"/>
    <w:rsid w:val="00FD5BC9"/>
    <w:rsid w:val="00FD6855"/>
    <w:rsid w:val="00FD709F"/>
    <w:rsid w:val="00FD77F3"/>
    <w:rsid w:val="00FE76A9"/>
    <w:rsid w:val="00FF1F59"/>
    <w:rsid w:val="00FF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FA049"/>
  <w14:defaultImageDpi w14:val="300"/>
  <w15:docId w15:val="{74FA75DE-E905-40CA-9079-467C2C1D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6">
    <w:name w:val="heading 6"/>
    <w:basedOn w:val="Normal"/>
    <w:next w:val="Normal"/>
    <w:link w:val="Heading6Char"/>
    <w:uiPriority w:val="99"/>
    <w:qFormat/>
    <w:rsid w:val="00CD2DAE"/>
    <w:pPr>
      <w:keepNext/>
      <w:keepLines/>
      <w:spacing w:before="200" w:line="276" w:lineRule="auto"/>
      <w:outlineLvl w:val="5"/>
    </w:pPr>
    <w:rPr>
      <w:rFonts w:ascii="Cambria" w:eastAsia="Calibri" w:hAnsi="Cambria" w:cs="Times New Roman"/>
      <w:i/>
      <w:iCs/>
      <w:color w:val="243F6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CD2DAE"/>
    <w:rPr>
      <w:rFonts w:ascii="Cambria" w:eastAsia="Calibri" w:hAnsi="Cambria" w:cs="Times New Roman"/>
      <w:i/>
      <w:iCs/>
      <w:color w:val="243F60"/>
      <w:sz w:val="20"/>
      <w:szCs w:val="20"/>
      <w:lang w:val="x-none" w:eastAsia="x-none"/>
    </w:rPr>
  </w:style>
  <w:style w:type="character" w:styleId="FootnoteReference">
    <w:name w:val="footnote reference"/>
    <w:uiPriority w:val="99"/>
    <w:rsid w:val="000843D1"/>
    <w:rPr>
      <w:rFonts w:cs="Times New Roman"/>
      <w:vertAlign w:val="superscript"/>
    </w:rPr>
  </w:style>
  <w:style w:type="paragraph" w:styleId="FootnoteText">
    <w:name w:val="footnote text"/>
    <w:basedOn w:val="Normal"/>
    <w:link w:val="FootnoteTextChar"/>
    <w:uiPriority w:val="99"/>
    <w:rsid w:val="000843D1"/>
    <w:rPr>
      <w:rFonts w:ascii="Times New Roman" w:eastAsia="Calibri" w:hAnsi="Times New Roman" w:cs="Times New Roman"/>
      <w:sz w:val="20"/>
      <w:szCs w:val="20"/>
      <w:lang w:val="en-US" w:eastAsia="x-none"/>
    </w:rPr>
  </w:style>
  <w:style w:type="character" w:customStyle="1" w:styleId="FootnoteTextChar">
    <w:name w:val="Footnote Text Char"/>
    <w:basedOn w:val="DefaultParagraphFont"/>
    <w:link w:val="FootnoteText"/>
    <w:uiPriority w:val="99"/>
    <w:rsid w:val="000843D1"/>
    <w:rPr>
      <w:rFonts w:ascii="Times New Roman" w:eastAsia="Calibri" w:hAnsi="Times New Roman" w:cs="Times New Roman"/>
      <w:sz w:val="20"/>
      <w:szCs w:val="20"/>
      <w:lang w:eastAsia="x-none"/>
    </w:rPr>
  </w:style>
  <w:style w:type="paragraph" w:styleId="ListParagraph">
    <w:name w:val="List Paragraph"/>
    <w:basedOn w:val="Normal"/>
    <w:uiPriority w:val="34"/>
    <w:qFormat/>
    <w:rsid w:val="00F507CD"/>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rsid w:val="002611A8"/>
  </w:style>
  <w:style w:type="character" w:customStyle="1" w:styleId="s6b621b36">
    <w:name w:val="s6b621b36"/>
    <w:basedOn w:val="DefaultParagraphFont"/>
    <w:rsid w:val="002611A8"/>
  </w:style>
  <w:style w:type="character" w:styleId="CommentReference">
    <w:name w:val="annotation reference"/>
    <w:basedOn w:val="DefaultParagraphFont"/>
    <w:uiPriority w:val="99"/>
    <w:semiHidden/>
    <w:unhideWhenUsed/>
    <w:rsid w:val="002611A8"/>
    <w:rPr>
      <w:sz w:val="16"/>
      <w:szCs w:val="16"/>
    </w:rPr>
  </w:style>
  <w:style w:type="paragraph" w:styleId="BalloonText">
    <w:name w:val="Balloon Text"/>
    <w:basedOn w:val="Normal"/>
    <w:link w:val="BalloonTextChar"/>
    <w:uiPriority w:val="99"/>
    <w:semiHidden/>
    <w:unhideWhenUsed/>
    <w:rsid w:val="00F431BF"/>
    <w:rPr>
      <w:rFonts w:ascii="Tahoma" w:hAnsi="Tahoma" w:cs="Tahoma"/>
      <w:sz w:val="16"/>
      <w:szCs w:val="16"/>
    </w:rPr>
  </w:style>
  <w:style w:type="character" w:customStyle="1" w:styleId="BalloonTextChar">
    <w:name w:val="Balloon Text Char"/>
    <w:basedOn w:val="DefaultParagraphFont"/>
    <w:link w:val="BalloonText"/>
    <w:uiPriority w:val="99"/>
    <w:semiHidden/>
    <w:rsid w:val="00F431B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0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4C5F-A625-4218-9257-C1375C81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Visoko sudsko i tuzilacko vijece BiH</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Aldijana Sabanovic</cp:lastModifiedBy>
  <cp:revision>3</cp:revision>
  <cp:lastPrinted>2016-12-07T07:50:00Z</cp:lastPrinted>
  <dcterms:created xsi:type="dcterms:W3CDTF">2017-07-11T13:07:00Z</dcterms:created>
  <dcterms:modified xsi:type="dcterms:W3CDTF">2017-07-11T13:08:00Z</dcterms:modified>
</cp:coreProperties>
</file>