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1677CF" w14:textId="77777777" w:rsidR="0026139F" w:rsidRDefault="0026139F" w:rsidP="00D84178">
      <w:pPr>
        <w:pStyle w:val="Header"/>
        <w:spacing w:line="276" w:lineRule="auto"/>
      </w:pPr>
      <w:bookmarkStart w:id="0" w:name="_GoBack"/>
      <w:bookmarkEnd w:id="0"/>
    </w:p>
    <w:p w14:paraId="0DFEFBFF" w14:textId="77777777" w:rsidR="004A5A0F" w:rsidRPr="00764718" w:rsidRDefault="004A5A0F" w:rsidP="00D84178">
      <w:pPr>
        <w:pStyle w:val="Heading1"/>
        <w:spacing w:line="276" w:lineRule="auto"/>
        <w:rPr>
          <w:rFonts w:ascii="Gill Sans MT" w:hAnsi="Gill Sans MT" w:cstheme="minorHAnsi"/>
        </w:rPr>
      </w:pPr>
    </w:p>
    <w:p w14:paraId="0A16172B" w14:textId="77777777" w:rsidR="00895395" w:rsidRDefault="00895395" w:rsidP="00D84178">
      <w:pPr>
        <w:pStyle w:val="Title"/>
        <w:spacing w:line="276" w:lineRule="auto"/>
        <w:jc w:val="center"/>
        <w:rPr>
          <w:rFonts w:asciiTheme="minorHAnsi" w:hAnsiTheme="minorHAnsi"/>
          <w:sz w:val="36"/>
          <w:szCs w:val="36"/>
        </w:rPr>
      </w:pPr>
    </w:p>
    <w:p w14:paraId="0C838293" w14:textId="77777777" w:rsidR="00895395" w:rsidRDefault="00895395" w:rsidP="00D84178">
      <w:pPr>
        <w:pStyle w:val="Title"/>
        <w:spacing w:line="276" w:lineRule="auto"/>
        <w:jc w:val="center"/>
        <w:rPr>
          <w:rFonts w:asciiTheme="minorHAnsi" w:hAnsiTheme="minorHAnsi"/>
          <w:sz w:val="36"/>
          <w:szCs w:val="36"/>
        </w:rPr>
      </w:pPr>
    </w:p>
    <w:p w14:paraId="2C34EC7D" w14:textId="77777777" w:rsidR="00895395" w:rsidRDefault="00895395" w:rsidP="00D84178">
      <w:pPr>
        <w:pStyle w:val="Title"/>
        <w:spacing w:line="276" w:lineRule="auto"/>
        <w:jc w:val="center"/>
        <w:rPr>
          <w:rFonts w:asciiTheme="minorHAnsi" w:hAnsiTheme="minorHAnsi"/>
          <w:sz w:val="36"/>
          <w:szCs w:val="36"/>
        </w:rPr>
      </w:pPr>
    </w:p>
    <w:p w14:paraId="05613BE6" w14:textId="77777777" w:rsidR="00895395" w:rsidRDefault="00895395" w:rsidP="00D84178">
      <w:pPr>
        <w:pStyle w:val="Title"/>
        <w:spacing w:line="276" w:lineRule="auto"/>
        <w:jc w:val="center"/>
        <w:rPr>
          <w:rFonts w:asciiTheme="minorHAnsi" w:hAnsiTheme="minorHAnsi"/>
          <w:sz w:val="36"/>
          <w:szCs w:val="36"/>
        </w:rPr>
      </w:pPr>
    </w:p>
    <w:p w14:paraId="7E439AC7" w14:textId="77777777" w:rsidR="00895395" w:rsidRDefault="00895395" w:rsidP="00D84178">
      <w:pPr>
        <w:pStyle w:val="Title"/>
        <w:spacing w:line="276" w:lineRule="auto"/>
        <w:jc w:val="center"/>
        <w:rPr>
          <w:rFonts w:asciiTheme="minorHAnsi" w:hAnsiTheme="minorHAnsi"/>
          <w:sz w:val="36"/>
          <w:szCs w:val="36"/>
        </w:rPr>
      </w:pPr>
    </w:p>
    <w:p w14:paraId="0295B54A" w14:textId="77777777" w:rsidR="00895395" w:rsidRDefault="00895395" w:rsidP="00D84178">
      <w:pPr>
        <w:pStyle w:val="Title"/>
        <w:spacing w:line="276" w:lineRule="auto"/>
        <w:jc w:val="center"/>
        <w:rPr>
          <w:rFonts w:asciiTheme="minorHAnsi" w:hAnsiTheme="minorHAnsi"/>
          <w:sz w:val="36"/>
          <w:szCs w:val="36"/>
        </w:rPr>
      </w:pPr>
    </w:p>
    <w:p w14:paraId="44588810" w14:textId="77777777" w:rsidR="00895395" w:rsidRDefault="00895395" w:rsidP="00D84178">
      <w:pPr>
        <w:pStyle w:val="Title"/>
        <w:spacing w:line="276" w:lineRule="auto"/>
        <w:jc w:val="center"/>
        <w:rPr>
          <w:rFonts w:asciiTheme="minorHAnsi" w:hAnsiTheme="minorHAnsi"/>
          <w:sz w:val="36"/>
          <w:szCs w:val="36"/>
        </w:rPr>
      </w:pPr>
    </w:p>
    <w:p w14:paraId="13689FCA" w14:textId="77777777" w:rsidR="00895395" w:rsidRDefault="00895395" w:rsidP="00D84178">
      <w:pPr>
        <w:pStyle w:val="Title"/>
        <w:spacing w:line="276" w:lineRule="auto"/>
        <w:jc w:val="center"/>
        <w:rPr>
          <w:rFonts w:asciiTheme="minorHAnsi" w:hAnsiTheme="minorHAnsi"/>
          <w:sz w:val="36"/>
          <w:szCs w:val="36"/>
        </w:rPr>
      </w:pPr>
    </w:p>
    <w:p w14:paraId="2FC6C7EC" w14:textId="77777777" w:rsidR="00895395" w:rsidRDefault="00895395" w:rsidP="00D84178">
      <w:pPr>
        <w:pStyle w:val="Title"/>
        <w:spacing w:line="276" w:lineRule="auto"/>
        <w:jc w:val="center"/>
        <w:rPr>
          <w:rFonts w:asciiTheme="minorHAnsi" w:hAnsiTheme="minorHAnsi"/>
          <w:sz w:val="36"/>
          <w:szCs w:val="36"/>
        </w:rPr>
      </w:pPr>
    </w:p>
    <w:p w14:paraId="77F083C5" w14:textId="77777777" w:rsidR="00DD494B" w:rsidRPr="00921582" w:rsidRDefault="00B34427" w:rsidP="00D84178">
      <w:pPr>
        <w:pStyle w:val="Title"/>
        <w:spacing w:line="276" w:lineRule="auto"/>
        <w:jc w:val="center"/>
        <w:rPr>
          <w:rFonts w:ascii="Verdana" w:hAnsi="Verdana"/>
          <w:sz w:val="36"/>
          <w:szCs w:val="36"/>
        </w:rPr>
      </w:pPr>
      <w:r w:rsidRPr="00921582">
        <w:rPr>
          <w:rFonts w:ascii="Verdana" w:hAnsi="Verdana"/>
          <w:sz w:val="36"/>
          <w:szCs w:val="36"/>
        </w:rPr>
        <w:t xml:space="preserve">ANALIZA </w:t>
      </w:r>
      <w:r w:rsidR="004A5A0F" w:rsidRPr="00921582">
        <w:rPr>
          <w:rFonts w:ascii="Verdana" w:hAnsi="Verdana"/>
          <w:sz w:val="36"/>
          <w:szCs w:val="36"/>
        </w:rPr>
        <w:t>INSTRUMEN</w:t>
      </w:r>
      <w:r w:rsidR="00447F31" w:rsidRPr="00921582">
        <w:rPr>
          <w:rFonts w:ascii="Verdana" w:hAnsi="Verdana"/>
          <w:sz w:val="36"/>
          <w:szCs w:val="36"/>
        </w:rPr>
        <w:t>A</w:t>
      </w:r>
      <w:r w:rsidR="004A5A0F" w:rsidRPr="00921582">
        <w:rPr>
          <w:rFonts w:ascii="Verdana" w:hAnsi="Verdana"/>
          <w:sz w:val="36"/>
          <w:szCs w:val="36"/>
        </w:rPr>
        <w:t xml:space="preserve">TA ZA PRAĆENJA </w:t>
      </w:r>
      <w:r w:rsidR="00654B06" w:rsidRPr="00921582">
        <w:rPr>
          <w:rFonts w:ascii="Verdana" w:hAnsi="Verdana"/>
          <w:sz w:val="36"/>
          <w:szCs w:val="36"/>
        </w:rPr>
        <w:t>PRIMJENE</w:t>
      </w:r>
      <w:r w:rsidR="004A5A0F" w:rsidRPr="00921582">
        <w:rPr>
          <w:rFonts w:ascii="Verdana" w:hAnsi="Verdana"/>
          <w:sz w:val="36"/>
          <w:szCs w:val="36"/>
        </w:rPr>
        <w:t xml:space="preserve"> </w:t>
      </w:r>
      <w:r w:rsidRPr="00921582">
        <w:rPr>
          <w:rFonts w:ascii="Verdana" w:hAnsi="Verdana"/>
          <w:sz w:val="36"/>
          <w:szCs w:val="36"/>
        </w:rPr>
        <w:t>SMJERNICA ZA SPREČAVANJA SUKOBA INTERESA U PRAVOSUĐU ZA 202</w:t>
      </w:r>
      <w:r w:rsidR="00013775">
        <w:rPr>
          <w:rFonts w:ascii="Verdana" w:hAnsi="Verdana"/>
          <w:sz w:val="36"/>
          <w:szCs w:val="36"/>
          <w:lang w:val="bs-Latn-BA"/>
        </w:rPr>
        <w:t>5</w:t>
      </w:r>
      <w:r w:rsidRPr="00921582">
        <w:rPr>
          <w:rFonts w:ascii="Verdana" w:hAnsi="Verdana"/>
          <w:sz w:val="36"/>
          <w:szCs w:val="36"/>
        </w:rPr>
        <w:t>. GODINU</w:t>
      </w:r>
    </w:p>
    <w:p w14:paraId="60FC1101" w14:textId="77777777" w:rsidR="00607C1F" w:rsidRDefault="00607C1F" w:rsidP="00D84178">
      <w:pPr>
        <w:spacing w:line="276" w:lineRule="auto"/>
      </w:pPr>
    </w:p>
    <w:p w14:paraId="412537B1" w14:textId="77777777" w:rsidR="00895395" w:rsidRDefault="00895395" w:rsidP="00D84178">
      <w:pPr>
        <w:spacing w:line="276" w:lineRule="auto"/>
      </w:pPr>
    </w:p>
    <w:p w14:paraId="4BD66375" w14:textId="77777777" w:rsidR="00895395" w:rsidRDefault="00895395" w:rsidP="00D84178">
      <w:pPr>
        <w:spacing w:line="276" w:lineRule="auto"/>
      </w:pPr>
    </w:p>
    <w:p w14:paraId="7AB25764" w14:textId="77777777" w:rsidR="00895395" w:rsidRDefault="00895395" w:rsidP="00D84178">
      <w:pPr>
        <w:spacing w:line="276" w:lineRule="auto"/>
      </w:pPr>
    </w:p>
    <w:p w14:paraId="26CF9A01" w14:textId="77777777" w:rsidR="00895395" w:rsidRDefault="00895395" w:rsidP="00D84178">
      <w:pPr>
        <w:spacing w:line="276" w:lineRule="auto"/>
      </w:pPr>
    </w:p>
    <w:p w14:paraId="0553E9D0" w14:textId="77777777" w:rsidR="00895395" w:rsidRDefault="00895395" w:rsidP="00D84178">
      <w:pPr>
        <w:spacing w:line="276" w:lineRule="auto"/>
      </w:pPr>
    </w:p>
    <w:p w14:paraId="7F3D950B" w14:textId="77777777" w:rsidR="00895395" w:rsidRDefault="00895395" w:rsidP="00D84178">
      <w:pPr>
        <w:spacing w:line="276" w:lineRule="auto"/>
      </w:pPr>
    </w:p>
    <w:p w14:paraId="788BC7F2" w14:textId="77777777" w:rsidR="00895395" w:rsidRDefault="00895395" w:rsidP="00D84178">
      <w:pPr>
        <w:spacing w:line="276" w:lineRule="auto"/>
      </w:pPr>
    </w:p>
    <w:p w14:paraId="25827FFC" w14:textId="77777777" w:rsidR="00895395" w:rsidRDefault="00895395" w:rsidP="00D84178">
      <w:pPr>
        <w:spacing w:line="276" w:lineRule="auto"/>
      </w:pPr>
    </w:p>
    <w:p w14:paraId="1A749DC6" w14:textId="77777777" w:rsidR="00895395" w:rsidRDefault="00895395" w:rsidP="00D84178">
      <w:pPr>
        <w:spacing w:line="276" w:lineRule="auto"/>
      </w:pPr>
    </w:p>
    <w:p w14:paraId="06D56364" w14:textId="77777777" w:rsidR="00895395" w:rsidRDefault="00895395" w:rsidP="00D84178">
      <w:pPr>
        <w:spacing w:line="276" w:lineRule="auto"/>
      </w:pPr>
    </w:p>
    <w:p w14:paraId="4352981E" w14:textId="77777777" w:rsidR="00895395" w:rsidRDefault="00895395" w:rsidP="00D84178">
      <w:pPr>
        <w:spacing w:line="276" w:lineRule="auto"/>
      </w:pPr>
    </w:p>
    <w:p w14:paraId="52A297DB" w14:textId="77777777" w:rsidR="00895395" w:rsidRDefault="00895395" w:rsidP="00D84178">
      <w:pPr>
        <w:spacing w:line="276" w:lineRule="auto"/>
      </w:pPr>
    </w:p>
    <w:sdt>
      <w:sdtPr>
        <w:rPr>
          <w:rFonts w:asciiTheme="minorHAnsi" w:eastAsiaTheme="minorHAnsi" w:hAnsiTheme="minorHAnsi" w:cstheme="minorBidi"/>
          <w:b w:val="0"/>
          <w:bCs w:val="0"/>
          <w:color w:val="auto"/>
          <w:spacing w:val="0"/>
          <w:sz w:val="21"/>
          <w:szCs w:val="22"/>
        </w:rPr>
        <w:id w:val="-654835047"/>
        <w:docPartObj>
          <w:docPartGallery w:val="Table of Contents"/>
          <w:docPartUnique/>
        </w:docPartObj>
      </w:sdtPr>
      <w:sdtEndPr>
        <w:rPr>
          <w:noProof/>
        </w:rPr>
      </w:sdtEndPr>
      <w:sdtContent>
        <w:p w14:paraId="55867A8E" w14:textId="77777777" w:rsidR="00607C1F" w:rsidRPr="00607C1F" w:rsidRDefault="00607C1F" w:rsidP="00D84178">
          <w:pPr>
            <w:pStyle w:val="TOCHeading"/>
            <w:spacing w:line="276" w:lineRule="auto"/>
            <w:rPr>
              <w:rFonts w:ascii="Gill Sans MT" w:hAnsi="Gill Sans MT"/>
              <w:lang w:val="hr-HR"/>
            </w:rPr>
          </w:pPr>
          <w:r w:rsidRPr="00607C1F">
            <w:rPr>
              <w:rFonts w:ascii="Gill Sans MT" w:hAnsi="Gill Sans MT"/>
              <w:lang w:val="hr-HR"/>
            </w:rPr>
            <w:t>Sadržaj</w:t>
          </w:r>
        </w:p>
        <w:p w14:paraId="544C1665" w14:textId="4E7F3C3B" w:rsidR="00D84178" w:rsidRDefault="00607C1F">
          <w:pPr>
            <w:pStyle w:val="TOC1"/>
            <w:tabs>
              <w:tab w:val="right" w:leader="dot" w:pos="9062"/>
            </w:tabs>
            <w:rPr>
              <w:rFonts w:eastAsiaTheme="minorEastAsia" w:cstheme="minorBidi"/>
              <w:b w:val="0"/>
              <w:bCs w:val="0"/>
              <w:i w:val="0"/>
              <w:iCs w:val="0"/>
              <w:noProof/>
              <w:sz w:val="22"/>
              <w:szCs w:val="22"/>
              <w:lang w:val="bs-Latn-BA" w:eastAsia="bs-Latn-BA"/>
            </w:rPr>
          </w:pPr>
          <w:r w:rsidRPr="00522C6A">
            <w:rPr>
              <w:rFonts w:ascii="Gill Sans MT" w:hAnsi="Gill Sans MT"/>
              <w:b w:val="0"/>
              <w:bCs w:val="0"/>
            </w:rPr>
            <w:fldChar w:fldCharType="begin"/>
          </w:r>
          <w:r w:rsidRPr="00522C6A">
            <w:rPr>
              <w:rFonts w:ascii="Gill Sans MT" w:hAnsi="Gill Sans MT"/>
            </w:rPr>
            <w:instrText xml:space="preserve"> TOC \o "1-3" \h \z \u </w:instrText>
          </w:r>
          <w:r w:rsidRPr="00522C6A">
            <w:rPr>
              <w:rFonts w:ascii="Gill Sans MT" w:hAnsi="Gill Sans MT"/>
              <w:b w:val="0"/>
              <w:bCs w:val="0"/>
            </w:rPr>
            <w:fldChar w:fldCharType="separate"/>
          </w:r>
          <w:hyperlink w:anchor="_Toc229748327" w:history="1">
            <w:r w:rsidR="00D84178" w:rsidRPr="00897ACB">
              <w:rPr>
                <w:rStyle w:val="Hyperlink"/>
                <w:noProof/>
              </w:rPr>
              <w:t>I Uvod</w:t>
            </w:r>
            <w:r w:rsidR="00D84178">
              <w:rPr>
                <w:noProof/>
                <w:webHidden/>
              </w:rPr>
              <w:tab/>
            </w:r>
            <w:r w:rsidR="00D84178" w:rsidRPr="00F95CBB">
              <w:rPr>
                <w:i w:val="0"/>
                <w:noProof/>
                <w:webHidden/>
              </w:rPr>
              <w:fldChar w:fldCharType="begin"/>
            </w:r>
            <w:r w:rsidR="00D84178" w:rsidRPr="00F95CBB">
              <w:rPr>
                <w:i w:val="0"/>
                <w:noProof/>
                <w:webHidden/>
              </w:rPr>
              <w:instrText xml:space="preserve"> PAGEREF _Toc229748327 \h </w:instrText>
            </w:r>
            <w:r w:rsidR="00D84178" w:rsidRPr="00F95CBB">
              <w:rPr>
                <w:i w:val="0"/>
                <w:noProof/>
                <w:webHidden/>
              </w:rPr>
            </w:r>
            <w:r w:rsidR="00D84178" w:rsidRPr="00F95CBB">
              <w:rPr>
                <w:i w:val="0"/>
                <w:noProof/>
                <w:webHidden/>
              </w:rPr>
              <w:fldChar w:fldCharType="separate"/>
            </w:r>
            <w:r w:rsidR="00D84178" w:rsidRPr="00F95CBB">
              <w:rPr>
                <w:i w:val="0"/>
                <w:noProof/>
                <w:webHidden/>
              </w:rPr>
              <w:t>3</w:t>
            </w:r>
            <w:r w:rsidR="00D84178" w:rsidRPr="00F95CBB">
              <w:rPr>
                <w:i w:val="0"/>
                <w:noProof/>
                <w:webHidden/>
              </w:rPr>
              <w:fldChar w:fldCharType="end"/>
            </w:r>
          </w:hyperlink>
        </w:p>
        <w:p w14:paraId="060407DF" w14:textId="4E4F9D32" w:rsidR="00D84178" w:rsidRDefault="005419FE">
          <w:pPr>
            <w:pStyle w:val="TOC1"/>
            <w:tabs>
              <w:tab w:val="right" w:leader="dot" w:pos="9062"/>
            </w:tabs>
            <w:rPr>
              <w:rFonts w:eastAsiaTheme="minorEastAsia" w:cstheme="minorBidi"/>
              <w:b w:val="0"/>
              <w:bCs w:val="0"/>
              <w:i w:val="0"/>
              <w:iCs w:val="0"/>
              <w:noProof/>
              <w:sz w:val="22"/>
              <w:szCs w:val="22"/>
              <w:lang w:val="bs-Latn-BA" w:eastAsia="bs-Latn-BA"/>
            </w:rPr>
          </w:pPr>
          <w:hyperlink w:anchor="_Toc229748328" w:history="1">
            <w:r w:rsidR="00D84178" w:rsidRPr="00897ACB">
              <w:rPr>
                <w:rStyle w:val="Hyperlink"/>
                <w:noProof/>
                <w:lang w:eastAsia="en-GB"/>
              </w:rPr>
              <w:t xml:space="preserve">II </w:t>
            </w:r>
            <w:r w:rsidR="00D84178" w:rsidRPr="00897ACB">
              <w:rPr>
                <w:rStyle w:val="Hyperlink"/>
                <w:noProof/>
                <w:lang w:val="hr-HR" w:eastAsia="en-GB"/>
              </w:rPr>
              <w:t>A</w:t>
            </w:r>
            <w:r w:rsidR="00D84178" w:rsidRPr="00897ACB">
              <w:rPr>
                <w:rStyle w:val="Hyperlink"/>
                <w:noProof/>
                <w:lang w:eastAsia="en-GB"/>
              </w:rPr>
              <w:t xml:space="preserve">naliza dostavljenih </w:t>
            </w:r>
            <w:r w:rsidR="00D84178" w:rsidRPr="00897ACB">
              <w:rPr>
                <w:rStyle w:val="Hyperlink"/>
                <w:noProof/>
              </w:rPr>
              <w:t>podataka</w:t>
            </w:r>
            <w:r w:rsidR="00D84178" w:rsidRPr="00897ACB">
              <w:rPr>
                <w:rStyle w:val="Hyperlink"/>
                <w:noProof/>
                <w:lang w:eastAsia="en-GB"/>
              </w:rPr>
              <w:t xml:space="preserve"> za 202</w:t>
            </w:r>
            <w:r w:rsidR="00D84178" w:rsidRPr="00897ACB">
              <w:rPr>
                <w:rStyle w:val="Hyperlink"/>
                <w:noProof/>
                <w:lang w:val="bs-Latn-BA" w:eastAsia="en-GB"/>
              </w:rPr>
              <w:t>5</w:t>
            </w:r>
            <w:r w:rsidR="00D84178" w:rsidRPr="00897ACB">
              <w:rPr>
                <w:rStyle w:val="Hyperlink"/>
                <w:noProof/>
                <w:lang w:eastAsia="en-GB"/>
              </w:rPr>
              <w:t>.</w:t>
            </w:r>
            <w:r w:rsidR="00D84178" w:rsidRPr="00897ACB">
              <w:rPr>
                <w:rStyle w:val="Hyperlink"/>
                <w:noProof/>
                <w:lang w:val="bs-Latn-BA" w:eastAsia="en-GB"/>
              </w:rPr>
              <w:t xml:space="preserve"> </w:t>
            </w:r>
            <w:r w:rsidR="00D84178" w:rsidRPr="00897ACB">
              <w:rPr>
                <w:rStyle w:val="Hyperlink"/>
                <w:noProof/>
                <w:lang w:eastAsia="en-GB"/>
              </w:rPr>
              <w:t>godinu</w:t>
            </w:r>
            <w:r w:rsidR="00D84178">
              <w:rPr>
                <w:noProof/>
                <w:webHidden/>
              </w:rPr>
              <w:tab/>
            </w:r>
            <w:r w:rsidR="00D84178" w:rsidRPr="00F95CBB">
              <w:rPr>
                <w:i w:val="0"/>
                <w:noProof/>
                <w:webHidden/>
              </w:rPr>
              <w:fldChar w:fldCharType="begin"/>
            </w:r>
            <w:r w:rsidR="00D84178" w:rsidRPr="00F95CBB">
              <w:rPr>
                <w:i w:val="0"/>
                <w:noProof/>
                <w:webHidden/>
              </w:rPr>
              <w:instrText xml:space="preserve"> PAGEREF _Toc229748328 \h </w:instrText>
            </w:r>
            <w:r w:rsidR="00D84178" w:rsidRPr="00F95CBB">
              <w:rPr>
                <w:i w:val="0"/>
                <w:noProof/>
                <w:webHidden/>
              </w:rPr>
            </w:r>
            <w:r w:rsidR="00D84178" w:rsidRPr="00F95CBB">
              <w:rPr>
                <w:i w:val="0"/>
                <w:noProof/>
                <w:webHidden/>
              </w:rPr>
              <w:fldChar w:fldCharType="separate"/>
            </w:r>
            <w:r w:rsidR="00D84178" w:rsidRPr="00F95CBB">
              <w:rPr>
                <w:i w:val="0"/>
                <w:noProof/>
                <w:webHidden/>
              </w:rPr>
              <w:t>5</w:t>
            </w:r>
            <w:r w:rsidR="00D84178" w:rsidRPr="00F95CBB">
              <w:rPr>
                <w:i w:val="0"/>
                <w:noProof/>
                <w:webHidden/>
              </w:rPr>
              <w:fldChar w:fldCharType="end"/>
            </w:r>
          </w:hyperlink>
        </w:p>
        <w:p w14:paraId="63AEAE0E" w14:textId="528DE7C3" w:rsidR="00D84178" w:rsidRDefault="005419FE">
          <w:pPr>
            <w:pStyle w:val="TOC2"/>
            <w:rPr>
              <w:rFonts w:eastAsiaTheme="minorEastAsia" w:cstheme="minorBidi"/>
              <w:b w:val="0"/>
              <w:bCs w:val="0"/>
              <w:noProof/>
              <w:lang w:val="bs-Latn-BA" w:eastAsia="bs-Latn-BA"/>
            </w:rPr>
          </w:pPr>
          <w:hyperlink w:anchor="_Toc229748329" w:history="1">
            <w:r w:rsidR="00D84178" w:rsidRPr="00897ACB">
              <w:rPr>
                <w:rStyle w:val="Hyperlink"/>
                <w:noProof/>
                <w:lang w:val="hr-HR"/>
              </w:rPr>
              <w:t>1. Evidencije pravosudnih institucija</w:t>
            </w:r>
            <w:r w:rsidR="00D84178">
              <w:rPr>
                <w:noProof/>
                <w:webHidden/>
              </w:rPr>
              <w:tab/>
            </w:r>
            <w:r w:rsidR="00D84178">
              <w:rPr>
                <w:noProof/>
                <w:webHidden/>
              </w:rPr>
              <w:fldChar w:fldCharType="begin"/>
            </w:r>
            <w:r w:rsidR="00D84178">
              <w:rPr>
                <w:noProof/>
                <w:webHidden/>
              </w:rPr>
              <w:instrText xml:space="preserve"> PAGEREF _Toc229748329 \h </w:instrText>
            </w:r>
            <w:r w:rsidR="00D84178">
              <w:rPr>
                <w:noProof/>
                <w:webHidden/>
              </w:rPr>
            </w:r>
            <w:r w:rsidR="00D84178">
              <w:rPr>
                <w:noProof/>
                <w:webHidden/>
              </w:rPr>
              <w:fldChar w:fldCharType="separate"/>
            </w:r>
            <w:r w:rsidR="00D84178">
              <w:rPr>
                <w:noProof/>
                <w:webHidden/>
              </w:rPr>
              <w:t>6</w:t>
            </w:r>
            <w:r w:rsidR="00D84178">
              <w:rPr>
                <w:noProof/>
                <w:webHidden/>
              </w:rPr>
              <w:fldChar w:fldCharType="end"/>
            </w:r>
          </w:hyperlink>
        </w:p>
        <w:p w14:paraId="3F584A32" w14:textId="38DE9C44" w:rsidR="00D84178" w:rsidRDefault="005419FE">
          <w:pPr>
            <w:pStyle w:val="TOC3"/>
            <w:tabs>
              <w:tab w:val="right" w:leader="dot" w:pos="9062"/>
            </w:tabs>
            <w:rPr>
              <w:rFonts w:eastAsiaTheme="minorEastAsia" w:cstheme="minorBidi"/>
              <w:noProof/>
              <w:sz w:val="22"/>
              <w:szCs w:val="22"/>
              <w:lang w:val="bs-Latn-BA" w:eastAsia="bs-Latn-BA"/>
            </w:rPr>
          </w:pPr>
          <w:hyperlink w:anchor="_Toc229748330" w:history="1">
            <w:r w:rsidR="00D84178" w:rsidRPr="00897ACB">
              <w:rPr>
                <w:rStyle w:val="Hyperlink"/>
                <w:noProof/>
                <w:lang w:val="hr-HR"/>
              </w:rPr>
              <w:t xml:space="preserve">1.1 Evidencija o </w:t>
            </w:r>
            <w:r w:rsidR="00D84178" w:rsidRPr="00897ACB">
              <w:rPr>
                <w:rStyle w:val="Hyperlink"/>
                <w:noProof/>
              </w:rPr>
              <w:t>izuzećima</w:t>
            </w:r>
            <w:r w:rsidR="00D84178" w:rsidRPr="00897ACB">
              <w:rPr>
                <w:rStyle w:val="Hyperlink"/>
                <w:noProof/>
                <w:lang w:val="hr-HR"/>
              </w:rPr>
              <w:t xml:space="preserve"> NPF</w:t>
            </w:r>
            <w:r w:rsidR="00D84178">
              <w:rPr>
                <w:noProof/>
                <w:webHidden/>
              </w:rPr>
              <w:tab/>
            </w:r>
            <w:r w:rsidR="00D84178">
              <w:rPr>
                <w:noProof/>
                <w:webHidden/>
              </w:rPr>
              <w:fldChar w:fldCharType="begin"/>
            </w:r>
            <w:r w:rsidR="00D84178">
              <w:rPr>
                <w:noProof/>
                <w:webHidden/>
              </w:rPr>
              <w:instrText xml:space="preserve"> PAGEREF _Toc229748330 \h </w:instrText>
            </w:r>
            <w:r w:rsidR="00D84178">
              <w:rPr>
                <w:noProof/>
                <w:webHidden/>
              </w:rPr>
            </w:r>
            <w:r w:rsidR="00D84178">
              <w:rPr>
                <w:noProof/>
                <w:webHidden/>
              </w:rPr>
              <w:fldChar w:fldCharType="separate"/>
            </w:r>
            <w:r w:rsidR="00D84178">
              <w:rPr>
                <w:noProof/>
                <w:webHidden/>
              </w:rPr>
              <w:t>6</w:t>
            </w:r>
            <w:r w:rsidR="00D84178">
              <w:rPr>
                <w:noProof/>
                <w:webHidden/>
              </w:rPr>
              <w:fldChar w:fldCharType="end"/>
            </w:r>
          </w:hyperlink>
        </w:p>
        <w:p w14:paraId="39232459" w14:textId="786C8FF4" w:rsidR="00D84178" w:rsidRDefault="005419FE">
          <w:pPr>
            <w:pStyle w:val="TOC3"/>
            <w:tabs>
              <w:tab w:val="right" w:leader="dot" w:pos="9062"/>
            </w:tabs>
            <w:rPr>
              <w:rFonts w:eastAsiaTheme="minorEastAsia" w:cstheme="minorBidi"/>
              <w:noProof/>
              <w:sz w:val="22"/>
              <w:szCs w:val="22"/>
              <w:lang w:val="bs-Latn-BA" w:eastAsia="bs-Latn-BA"/>
            </w:rPr>
          </w:pPr>
          <w:hyperlink w:anchor="_Toc229748331" w:history="1">
            <w:r w:rsidR="00D84178" w:rsidRPr="00897ACB">
              <w:rPr>
                <w:rStyle w:val="Hyperlink"/>
                <w:noProof/>
                <w:lang w:val="hr-HR"/>
              </w:rPr>
              <w:t xml:space="preserve">1.2 Evidencija dodatnih </w:t>
            </w:r>
            <w:r w:rsidR="00D84178" w:rsidRPr="00897ACB">
              <w:rPr>
                <w:rStyle w:val="Hyperlink"/>
                <w:noProof/>
              </w:rPr>
              <w:t>aktivnosti</w:t>
            </w:r>
            <w:r w:rsidR="00D84178" w:rsidRPr="00897ACB">
              <w:rPr>
                <w:rStyle w:val="Hyperlink"/>
                <w:noProof/>
                <w:lang w:val="hr-HR"/>
              </w:rPr>
              <w:t xml:space="preserve"> NPF</w:t>
            </w:r>
            <w:r w:rsidR="00D84178">
              <w:rPr>
                <w:noProof/>
                <w:webHidden/>
              </w:rPr>
              <w:tab/>
            </w:r>
            <w:r w:rsidR="00D84178">
              <w:rPr>
                <w:noProof/>
                <w:webHidden/>
              </w:rPr>
              <w:fldChar w:fldCharType="begin"/>
            </w:r>
            <w:r w:rsidR="00D84178">
              <w:rPr>
                <w:noProof/>
                <w:webHidden/>
              </w:rPr>
              <w:instrText xml:space="preserve"> PAGEREF _Toc229748331 \h </w:instrText>
            </w:r>
            <w:r w:rsidR="00D84178">
              <w:rPr>
                <w:noProof/>
                <w:webHidden/>
              </w:rPr>
            </w:r>
            <w:r w:rsidR="00D84178">
              <w:rPr>
                <w:noProof/>
                <w:webHidden/>
              </w:rPr>
              <w:fldChar w:fldCharType="separate"/>
            </w:r>
            <w:r w:rsidR="00D84178">
              <w:rPr>
                <w:noProof/>
                <w:webHidden/>
              </w:rPr>
              <w:t>8</w:t>
            </w:r>
            <w:r w:rsidR="00D84178">
              <w:rPr>
                <w:noProof/>
                <w:webHidden/>
              </w:rPr>
              <w:fldChar w:fldCharType="end"/>
            </w:r>
          </w:hyperlink>
        </w:p>
        <w:p w14:paraId="02914A43" w14:textId="3CFF9C8E" w:rsidR="00D84178" w:rsidRDefault="005419FE">
          <w:pPr>
            <w:pStyle w:val="TOC3"/>
            <w:tabs>
              <w:tab w:val="right" w:leader="dot" w:pos="9062"/>
            </w:tabs>
            <w:rPr>
              <w:rFonts w:eastAsiaTheme="minorEastAsia" w:cstheme="minorBidi"/>
              <w:noProof/>
              <w:sz w:val="22"/>
              <w:szCs w:val="22"/>
              <w:lang w:val="bs-Latn-BA" w:eastAsia="bs-Latn-BA"/>
            </w:rPr>
          </w:pPr>
          <w:hyperlink w:anchor="_Toc229748333" w:history="1">
            <w:r w:rsidR="00D84178" w:rsidRPr="00897ACB">
              <w:rPr>
                <w:rStyle w:val="Hyperlink"/>
                <w:noProof/>
                <w:lang w:val="hr-HR"/>
              </w:rPr>
              <w:t xml:space="preserve">1.3 Evidencije o istupima NPF u </w:t>
            </w:r>
            <w:r w:rsidR="00D84178" w:rsidRPr="00897ACB">
              <w:rPr>
                <w:rStyle w:val="Hyperlink"/>
                <w:noProof/>
              </w:rPr>
              <w:t>javnosti</w:t>
            </w:r>
            <w:r w:rsidR="00D84178">
              <w:rPr>
                <w:noProof/>
                <w:webHidden/>
              </w:rPr>
              <w:tab/>
            </w:r>
            <w:r w:rsidR="00D84178">
              <w:rPr>
                <w:noProof/>
                <w:webHidden/>
              </w:rPr>
              <w:fldChar w:fldCharType="begin"/>
            </w:r>
            <w:r w:rsidR="00D84178">
              <w:rPr>
                <w:noProof/>
                <w:webHidden/>
              </w:rPr>
              <w:instrText xml:space="preserve"> PAGEREF _Toc229748333 \h </w:instrText>
            </w:r>
            <w:r w:rsidR="00D84178">
              <w:rPr>
                <w:noProof/>
                <w:webHidden/>
              </w:rPr>
            </w:r>
            <w:r w:rsidR="00D84178">
              <w:rPr>
                <w:noProof/>
                <w:webHidden/>
              </w:rPr>
              <w:fldChar w:fldCharType="separate"/>
            </w:r>
            <w:r w:rsidR="00D84178">
              <w:rPr>
                <w:noProof/>
                <w:webHidden/>
              </w:rPr>
              <w:t>10</w:t>
            </w:r>
            <w:r w:rsidR="00D84178">
              <w:rPr>
                <w:noProof/>
                <w:webHidden/>
              </w:rPr>
              <w:fldChar w:fldCharType="end"/>
            </w:r>
          </w:hyperlink>
        </w:p>
        <w:p w14:paraId="1ADA9B06" w14:textId="1D68D4B6" w:rsidR="00D84178" w:rsidRDefault="005419FE">
          <w:pPr>
            <w:pStyle w:val="TOC3"/>
            <w:tabs>
              <w:tab w:val="right" w:leader="dot" w:pos="9062"/>
            </w:tabs>
            <w:rPr>
              <w:rFonts w:eastAsiaTheme="minorEastAsia" w:cstheme="minorBidi"/>
              <w:noProof/>
              <w:sz w:val="22"/>
              <w:szCs w:val="22"/>
              <w:lang w:val="bs-Latn-BA" w:eastAsia="bs-Latn-BA"/>
            </w:rPr>
          </w:pPr>
          <w:hyperlink w:anchor="_Toc229748334" w:history="1">
            <w:r w:rsidR="00D84178" w:rsidRPr="00897ACB">
              <w:rPr>
                <w:rStyle w:val="Hyperlink"/>
                <w:noProof/>
                <w:lang w:val="bs-Latn-BA"/>
              </w:rPr>
              <w:t xml:space="preserve">1.4. </w:t>
            </w:r>
            <w:r w:rsidR="00D84178" w:rsidRPr="00897ACB">
              <w:rPr>
                <w:rStyle w:val="Hyperlink"/>
                <w:noProof/>
              </w:rPr>
              <w:t>Evidencija o prijavama i izrečenim disciplinskim mjerama protiv osoblja koje radi pod nadzorom NPF</w:t>
            </w:r>
            <w:r w:rsidR="00F95CBB">
              <w:rPr>
                <w:noProof/>
                <w:webHidden/>
                <w:lang w:val="bs-Latn-BA"/>
              </w:rPr>
              <w:t xml:space="preserve">................................................................................................................................................................ </w:t>
            </w:r>
            <w:r w:rsidR="00D84178">
              <w:rPr>
                <w:noProof/>
                <w:webHidden/>
              </w:rPr>
              <w:fldChar w:fldCharType="begin"/>
            </w:r>
            <w:r w:rsidR="00D84178">
              <w:rPr>
                <w:noProof/>
                <w:webHidden/>
              </w:rPr>
              <w:instrText xml:space="preserve"> PAGEREF _Toc229748334 \h </w:instrText>
            </w:r>
            <w:r w:rsidR="00D84178">
              <w:rPr>
                <w:noProof/>
                <w:webHidden/>
              </w:rPr>
            </w:r>
            <w:r w:rsidR="00D84178">
              <w:rPr>
                <w:noProof/>
                <w:webHidden/>
              </w:rPr>
              <w:fldChar w:fldCharType="separate"/>
            </w:r>
            <w:r w:rsidR="00D84178">
              <w:rPr>
                <w:noProof/>
                <w:webHidden/>
              </w:rPr>
              <w:t>11</w:t>
            </w:r>
            <w:r w:rsidR="00D84178">
              <w:rPr>
                <w:noProof/>
                <w:webHidden/>
              </w:rPr>
              <w:fldChar w:fldCharType="end"/>
            </w:r>
          </w:hyperlink>
        </w:p>
        <w:p w14:paraId="4F79EEE0" w14:textId="2FDA45CF" w:rsidR="00D84178" w:rsidRDefault="005419FE">
          <w:pPr>
            <w:pStyle w:val="TOC3"/>
            <w:tabs>
              <w:tab w:val="right" w:leader="dot" w:pos="9062"/>
            </w:tabs>
            <w:rPr>
              <w:rFonts w:eastAsiaTheme="minorEastAsia" w:cstheme="minorBidi"/>
              <w:noProof/>
              <w:sz w:val="22"/>
              <w:szCs w:val="22"/>
              <w:lang w:val="bs-Latn-BA" w:eastAsia="bs-Latn-BA"/>
            </w:rPr>
          </w:pPr>
          <w:hyperlink w:anchor="_Toc229748335" w:history="1">
            <w:r w:rsidR="00D84178" w:rsidRPr="00897ACB">
              <w:rPr>
                <w:rStyle w:val="Hyperlink"/>
                <w:noProof/>
                <w:lang w:val="bs-Latn-BA"/>
              </w:rPr>
              <w:t xml:space="preserve">1.5 </w:t>
            </w:r>
            <w:r w:rsidR="00D84178" w:rsidRPr="00897ACB">
              <w:rPr>
                <w:rStyle w:val="Hyperlink"/>
                <w:noProof/>
              </w:rPr>
              <w:t>Evidencija o ostvarenoj ex parte komunikaciji NPF i uposlenika</w:t>
            </w:r>
            <w:r w:rsidR="00D84178">
              <w:rPr>
                <w:noProof/>
                <w:webHidden/>
              </w:rPr>
              <w:tab/>
            </w:r>
            <w:r w:rsidR="00D84178">
              <w:rPr>
                <w:noProof/>
                <w:webHidden/>
              </w:rPr>
              <w:fldChar w:fldCharType="begin"/>
            </w:r>
            <w:r w:rsidR="00D84178">
              <w:rPr>
                <w:noProof/>
                <w:webHidden/>
              </w:rPr>
              <w:instrText xml:space="preserve"> PAGEREF _Toc229748335 \h </w:instrText>
            </w:r>
            <w:r w:rsidR="00D84178">
              <w:rPr>
                <w:noProof/>
                <w:webHidden/>
              </w:rPr>
            </w:r>
            <w:r w:rsidR="00D84178">
              <w:rPr>
                <w:noProof/>
                <w:webHidden/>
              </w:rPr>
              <w:fldChar w:fldCharType="separate"/>
            </w:r>
            <w:r w:rsidR="00D84178">
              <w:rPr>
                <w:noProof/>
                <w:webHidden/>
              </w:rPr>
              <w:t>11</w:t>
            </w:r>
            <w:r w:rsidR="00D84178">
              <w:rPr>
                <w:noProof/>
                <w:webHidden/>
              </w:rPr>
              <w:fldChar w:fldCharType="end"/>
            </w:r>
          </w:hyperlink>
        </w:p>
        <w:p w14:paraId="13CDF2FA" w14:textId="563AE04A" w:rsidR="00D84178" w:rsidRDefault="005419FE">
          <w:pPr>
            <w:pStyle w:val="TOC3"/>
            <w:tabs>
              <w:tab w:val="right" w:leader="dot" w:pos="9062"/>
            </w:tabs>
            <w:rPr>
              <w:rFonts w:eastAsiaTheme="minorEastAsia" w:cstheme="minorBidi"/>
              <w:noProof/>
              <w:sz w:val="22"/>
              <w:szCs w:val="22"/>
              <w:lang w:val="bs-Latn-BA" w:eastAsia="bs-Latn-BA"/>
            </w:rPr>
          </w:pPr>
          <w:hyperlink w:anchor="_Toc229748336" w:history="1">
            <w:r w:rsidR="00D84178" w:rsidRPr="00897ACB">
              <w:rPr>
                <w:rStyle w:val="Hyperlink"/>
                <w:rFonts w:eastAsia="Times New Roman"/>
                <w:noProof/>
                <w:lang w:val="bs-Latn-BA" w:eastAsia="en-GB"/>
              </w:rPr>
              <w:t xml:space="preserve">1.6 </w:t>
            </w:r>
            <w:r w:rsidR="00D84178" w:rsidRPr="00897ACB">
              <w:rPr>
                <w:rStyle w:val="Hyperlink"/>
                <w:rFonts w:eastAsia="Times New Roman"/>
                <w:noProof/>
                <w:lang w:eastAsia="en-GB"/>
              </w:rPr>
              <w:t>Evidencija o prijemu poklona NPF i uposlenika</w:t>
            </w:r>
            <w:r w:rsidR="00D84178">
              <w:rPr>
                <w:noProof/>
                <w:webHidden/>
              </w:rPr>
              <w:tab/>
            </w:r>
            <w:r w:rsidR="00D84178">
              <w:rPr>
                <w:noProof/>
                <w:webHidden/>
              </w:rPr>
              <w:fldChar w:fldCharType="begin"/>
            </w:r>
            <w:r w:rsidR="00D84178">
              <w:rPr>
                <w:noProof/>
                <w:webHidden/>
              </w:rPr>
              <w:instrText xml:space="preserve"> PAGEREF _Toc229748336 \h </w:instrText>
            </w:r>
            <w:r w:rsidR="00D84178">
              <w:rPr>
                <w:noProof/>
                <w:webHidden/>
              </w:rPr>
            </w:r>
            <w:r w:rsidR="00D84178">
              <w:rPr>
                <w:noProof/>
                <w:webHidden/>
              </w:rPr>
              <w:fldChar w:fldCharType="separate"/>
            </w:r>
            <w:r w:rsidR="00D84178">
              <w:rPr>
                <w:noProof/>
                <w:webHidden/>
              </w:rPr>
              <w:t>12</w:t>
            </w:r>
            <w:r w:rsidR="00D84178">
              <w:rPr>
                <w:noProof/>
                <w:webHidden/>
              </w:rPr>
              <w:fldChar w:fldCharType="end"/>
            </w:r>
          </w:hyperlink>
        </w:p>
        <w:p w14:paraId="13F90426" w14:textId="464412B5" w:rsidR="00D84178" w:rsidRPr="00F95CBB" w:rsidRDefault="005419FE" w:rsidP="00F95CBB">
          <w:pPr>
            <w:pStyle w:val="TOC2"/>
            <w:rPr>
              <w:rFonts w:eastAsiaTheme="minorEastAsia" w:cstheme="minorBidi"/>
              <w:b w:val="0"/>
              <w:bCs w:val="0"/>
              <w:noProof/>
              <w:lang w:val="bs-Latn-BA" w:eastAsia="bs-Latn-BA"/>
            </w:rPr>
          </w:pPr>
          <w:hyperlink w:anchor="_Toc229748337" w:history="1">
            <w:r w:rsidR="00D84178" w:rsidRPr="00897ACB">
              <w:rPr>
                <w:rStyle w:val="Hyperlink"/>
                <w:noProof/>
                <w:lang w:val="hr-HR"/>
              </w:rPr>
              <w:t>2. Evidencije o obukama iz oblasti sukoba interesa i pravosudne etike</w:t>
            </w:r>
            <w:r w:rsidR="00D84178">
              <w:rPr>
                <w:noProof/>
                <w:webHidden/>
              </w:rPr>
              <w:tab/>
            </w:r>
            <w:r w:rsidR="00D84178">
              <w:rPr>
                <w:noProof/>
                <w:webHidden/>
              </w:rPr>
              <w:fldChar w:fldCharType="begin"/>
            </w:r>
            <w:r w:rsidR="00D84178">
              <w:rPr>
                <w:noProof/>
                <w:webHidden/>
              </w:rPr>
              <w:instrText xml:space="preserve"> PAGEREF _Toc229748337 \h </w:instrText>
            </w:r>
            <w:r w:rsidR="00D84178">
              <w:rPr>
                <w:noProof/>
                <w:webHidden/>
              </w:rPr>
            </w:r>
            <w:r w:rsidR="00D84178">
              <w:rPr>
                <w:noProof/>
                <w:webHidden/>
              </w:rPr>
              <w:fldChar w:fldCharType="separate"/>
            </w:r>
            <w:r w:rsidR="00D84178">
              <w:rPr>
                <w:noProof/>
                <w:webHidden/>
              </w:rPr>
              <w:t>13</w:t>
            </w:r>
            <w:r w:rsidR="00D84178">
              <w:rPr>
                <w:noProof/>
                <w:webHidden/>
              </w:rPr>
              <w:fldChar w:fldCharType="end"/>
            </w:r>
          </w:hyperlink>
          <w:hyperlink w:anchor="_Toc229748338" w:history="1"/>
        </w:p>
        <w:p w14:paraId="5320D9BB" w14:textId="40364BCC" w:rsidR="00D84178" w:rsidRDefault="005419FE">
          <w:pPr>
            <w:pStyle w:val="TOC2"/>
            <w:rPr>
              <w:rFonts w:eastAsiaTheme="minorEastAsia" w:cstheme="minorBidi"/>
              <w:b w:val="0"/>
              <w:bCs w:val="0"/>
              <w:noProof/>
              <w:lang w:val="bs-Latn-BA" w:eastAsia="bs-Latn-BA"/>
            </w:rPr>
          </w:pPr>
          <w:hyperlink w:anchor="_Toc229748339" w:history="1">
            <w:r w:rsidR="00D84178" w:rsidRPr="00897ACB">
              <w:rPr>
                <w:rStyle w:val="Hyperlink"/>
                <w:noProof/>
                <w:lang w:val="bs-Latn-BA"/>
              </w:rPr>
              <w:t xml:space="preserve">3. </w:t>
            </w:r>
            <w:r w:rsidR="00D84178" w:rsidRPr="00897ACB">
              <w:rPr>
                <w:rStyle w:val="Hyperlink"/>
                <w:noProof/>
              </w:rPr>
              <w:t xml:space="preserve">Evidencija prijava Uredu disciplinskog tužioca i evidencija izrečenih </w:t>
            </w:r>
            <w:r w:rsidR="00D84178" w:rsidRPr="00897ACB">
              <w:rPr>
                <w:rStyle w:val="Hyperlink"/>
                <w:noProof/>
                <w:lang w:val="hr-HR"/>
              </w:rPr>
              <w:t xml:space="preserve">disciplinskih </w:t>
            </w:r>
            <w:r w:rsidR="00D84178" w:rsidRPr="00897ACB">
              <w:rPr>
                <w:rStyle w:val="Hyperlink"/>
                <w:noProof/>
              </w:rPr>
              <w:t>mjera</w:t>
            </w:r>
            <w:r w:rsidR="00D84178">
              <w:rPr>
                <w:noProof/>
                <w:webHidden/>
              </w:rPr>
              <w:tab/>
            </w:r>
            <w:r w:rsidR="00D84178">
              <w:rPr>
                <w:noProof/>
                <w:webHidden/>
              </w:rPr>
              <w:fldChar w:fldCharType="begin"/>
            </w:r>
            <w:r w:rsidR="00D84178">
              <w:rPr>
                <w:noProof/>
                <w:webHidden/>
              </w:rPr>
              <w:instrText xml:space="preserve"> PAGEREF _Toc229748339 \h </w:instrText>
            </w:r>
            <w:r w:rsidR="00D84178">
              <w:rPr>
                <w:noProof/>
                <w:webHidden/>
              </w:rPr>
            </w:r>
            <w:r w:rsidR="00D84178">
              <w:rPr>
                <w:noProof/>
                <w:webHidden/>
              </w:rPr>
              <w:fldChar w:fldCharType="separate"/>
            </w:r>
            <w:r w:rsidR="00D84178">
              <w:rPr>
                <w:noProof/>
                <w:webHidden/>
              </w:rPr>
              <w:t>14</w:t>
            </w:r>
            <w:r w:rsidR="00D84178">
              <w:rPr>
                <w:noProof/>
                <w:webHidden/>
              </w:rPr>
              <w:fldChar w:fldCharType="end"/>
            </w:r>
          </w:hyperlink>
        </w:p>
        <w:p w14:paraId="2E4DB00E" w14:textId="74FD2724" w:rsidR="00D84178" w:rsidRDefault="005419FE">
          <w:pPr>
            <w:pStyle w:val="TOC1"/>
            <w:tabs>
              <w:tab w:val="right" w:leader="dot" w:pos="9062"/>
            </w:tabs>
            <w:rPr>
              <w:rFonts w:eastAsiaTheme="minorEastAsia" w:cstheme="minorBidi"/>
              <w:b w:val="0"/>
              <w:bCs w:val="0"/>
              <w:i w:val="0"/>
              <w:iCs w:val="0"/>
              <w:noProof/>
              <w:sz w:val="22"/>
              <w:szCs w:val="22"/>
              <w:lang w:val="bs-Latn-BA" w:eastAsia="bs-Latn-BA"/>
            </w:rPr>
          </w:pPr>
          <w:hyperlink w:anchor="_Toc229748340" w:history="1">
            <w:r w:rsidR="00D84178" w:rsidRPr="00897ACB">
              <w:rPr>
                <w:rStyle w:val="Hyperlink"/>
                <w:noProof/>
              </w:rPr>
              <w:t>III Nalazi i preporuke</w:t>
            </w:r>
            <w:r w:rsidR="00D84178">
              <w:rPr>
                <w:noProof/>
                <w:webHidden/>
              </w:rPr>
              <w:tab/>
            </w:r>
            <w:r w:rsidR="00D84178" w:rsidRPr="00F95CBB">
              <w:rPr>
                <w:i w:val="0"/>
                <w:noProof/>
                <w:webHidden/>
              </w:rPr>
              <w:fldChar w:fldCharType="begin"/>
            </w:r>
            <w:r w:rsidR="00D84178" w:rsidRPr="00F95CBB">
              <w:rPr>
                <w:i w:val="0"/>
                <w:noProof/>
                <w:webHidden/>
              </w:rPr>
              <w:instrText xml:space="preserve"> PAGEREF _Toc229748340 \h </w:instrText>
            </w:r>
            <w:r w:rsidR="00D84178" w:rsidRPr="00F95CBB">
              <w:rPr>
                <w:i w:val="0"/>
                <w:noProof/>
                <w:webHidden/>
              </w:rPr>
            </w:r>
            <w:r w:rsidR="00D84178" w:rsidRPr="00F95CBB">
              <w:rPr>
                <w:i w:val="0"/>
                <w:noProof/>
                <w:webHidden/>
              </w:rPr>
              <w:fldChar w:fldCharType="separate"/>
            </w:r>
            <w:r w:rsidR="00D84178" w:rsidRPr="00F95CBB">
              <w:rPr>
                <w:i w:val="0"/>
                <w:noProof/>
                <w:webHidden/>
              </w:rPr>
              <w:t>16</w:t>
            </w:r>
            <w:r w:rsidR="00D84178" w:rsidRPr="00F95CBB">
              <w:rPr>
                <w:i w:val="0"/>
                <w:noProof/>
                <w:webHidden/>
              </w:rPr>
              <w:fldChar w:fldCharType="end"/>
            </w:r>
          </w:hyperlink>
        </w:p>
        <w:p w14:paraId="6D91C1C8" w14:textId="0F9EA5D2" w:rsidR="00607C1F" w:rsidRDefault="00607C1F" w:rsidP="00D84178">
          <w:pPr>
            <w:spacing w:line="276" w:lineRule="auto"/>
          </w:pPr>
          <w:r w:rsidRPr="00522C6A">
            <w:rPr>
              <w:rFonts w:ascii="Gill Sans MT" w:hAnsi="Gill Sans MT"/>
              <w:b/>
              <w:bCs/>
              <w:noProof/>
            </w:rPr>
            <w:fldChar w:fldCharType="end"/>
          </w:r>
        </w:p>
      </w:sdtContent>
    </w:sdt>
    <w:p w14:paraId="0BC418B6" w14:textId="77777777" w:rsidR="00607C1F" w:rsidRDefault="00607C1F" w:rsidP="00D84178">
      <w:pPr>
        <w:pStyle w:val="Heading1"/>
        <w:spacing w:line="276" w:lineRule="auto"/>
        <w:rPr>
          <w:rFonts w:ascii="Gill Sans MT" w:hAnsi="Gill Sans MT" w:cstheme="minorHAnsi"/>
        </w:rPr>
        <w:sectPr w:rsidR="00607C1F" w:rsidSect="00EE7C5A">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pPr>
    </w:p>
    <w:p w14:paraId="7CF4A5C0" w14:textId="77777777" w:rsidR="00DD494B" w:rsidRPr="00921582" w:rsidRDefault="00FD35C6" w:rsidP="00D84178">
      <w:pPr>
        <w:pStyle w:val="Heading1"/>
        <w:spacing w:line="276" w:lineRule="auto"/>
      </w:pPr>
      <w:bookmarkStart w:id="1" w:name="_Toc229748327"/>
      <w:r w:rsidRPr="00921582">
        <w:lastRenderedPageBreak/>
        <w:t xml:space="preserve">I </w:t>
      </w:r>
      <w:r w:rsidR="00DD494B" w:rsidRPr="003F7EDC">
        <w:t>Uvod</w:t>
      </w:r>
      <w:bookmarkEnd w:id="1"/>
    </w:p>
    <w:p w14:paraId="5087BA53" w14:textId="77777777" w:rsidR="00DD494B" w:rsidRPr="00921582" w:rsidRDefault="00DD494B" w:rsidP="00D84178">
      <w:pPr>
        <w:spacing w:line="276" w:lineRule="auto"/>
        <w:rPr>
          <w:rFonts w:ascii="Verdana" w:hAnsi="Verdana" w:cs="Arial"/>
          <w:sz w:val="20"/>
          <w:szCs w:val="20"/>
        </w:rPr>
      </w:pPr>
    </w:p>
    <w:p w14:paraId="0203DA7F" w14:textId="77777777" w:rsidR="00C71731" w:rsidRPr="00452536" w:rsidRDefault="00447F31" w:rsidP="00D84178">
      <w:pPr>
        <w:spacing w:line="276" w:lineRule="auto"/>
        <w:jc w:val="both"/>
        <w:rPr>
          <w:rFonts w:ascii="Verdana" w:hAnsi="Verdana" w:cs="Arial"/>
          <w:sz w:val="20"/>
          <w:szCs w:val="20"/>
          <w:lang w:val="hr-HR"/>
        </w:rPr>
      </w:pPr>
      <w:r w:rsidRPr="00921582">
        <w:rPr>
          <w:rFonts w:ascii="Verdana" w:hAnsi="Verdana" w:cs="Arial"/>
          <w:i/>
          <w:sz w:val="20"/>
          <w:szCs w:val="20"/>
          <w:lang w:val="hr-HR"/>
        </w:rPr>
        <w:t>Smjernice za sprečavanje sukoba interesa u pravosuđu</w:t>
      </w:r>
      <w:r w:rsidRPr="00921582">
        <w:rPr>
          <w:rFonts w:ascii="Verdana" w:hAnsi="Verdana" w:cs="Arial"/>
          <w:iCs/>
          <w:sz w:val="20"/>
          <w:szCs w:val="20"/>
          <w:lang w:val="hr-HR"/>
        </w:rPr>
        <w:t xml:space="preserve"> (</w:t>
      </w:r>
      <w:r w:rsidR="003D3E76" w:rsidRPr="00921582">
        <w:rPr>
          <w:rFonts w:ascii="Verdana" w:hAnsi="Verdana" w:cs="Arial"/>
          <w:iCs/>
          <w:sz w:val="20"/>
          <w:szCs w:val="20"/>
          <w:lang w:val="hr-HR"/>
        </w:rPr>
        <w:t xml:space="preserve">u daljem tekstu: </w:t>
      </w:r>
      <w:r w:rsidRPr="00921582">
        <w:rPr>
          <w:rFonts w:ascii="Verdana" w:hAnsi="Verdana" w:cs="Arial"/>
          <w:iCs/>
          <w:sz w:val="20"/>
          <w:szCs w:val="20"/>
          <w:lang w:val="hr-HR"/>
        </w:rPr>
        <w:t>Smjernice)</w:t>
      </w:r>
      <w:r w:rsidR="00CE45D7" w:rsidRPr="00921582">
        <w:rPr>
          <w:rFonts w:ascii="Verdana" w:hAnsi="Verdana" w:cs="Arial"/>
          <w:iCs/>
          <w:sz w:val="20"/>
          <w:szCs w:val="20"/>
          <w:lang w:val="hr-HR"/>
        </w:rPr>
        <w:t xml:space="preserve"> usvojene su od strane </w:t>
      </w:r>
      <w:r w:rsidR="00CE45D7" w:rsidRPr="00921582">
        <w:rPr>
          <w:rFonts w:ascii="Verdana" w:hAnsi="Verdana" w:cs="Arial"/>
          <w:sz w:val="20"/>
          <w:szCs w:val="20"/>
          <w:lang w:val="hr-HR"/>
        </w:rPr>
        <w:t>Visokog sudskog i tužilačkog vijeća Bosne i Hercegovine (</w:t>
      </w:r>
      <w:r w:rsidR="003D3E76" w:rsidRPr="00921582">
        <w:rPr>
          <w:rFonts w:ascii="Verdana" w:hAnsi="Verdana" w:cs="Arial"/>
          <w:sz w:val="20"/>
          <w:szCs w:val="20"/>
          <w:lang w:val="hr-HR"/>
        </w:rPr>
        <w:t xml:space="preserve">u daljem tekstu: </w:t>
      </w:r>
      <w:r w:rsidR="00CE45D7" w:rsidRPr="00921582">
        <w:rPr>
          <w:rFonts w:ascii="Verdana" w:hAnsi="Verdana" w:cs="Arial"/>
          <w:sz w:val="20"/>
          <w:szCs w:val="20"/>
          <w:lang w:val="hr-HR"/>
        </w:rPr>
        <w:t>VSTV BiH</w:t>
      </w:r>
      <w:r w:rsidR="00C71731">
        <w:rPr>
          <w:rFonts w:ascii="Verdana" w:hAnsi="Verdana" w:cs="Arial"/>
          <w:sz w:val="20"/>
          <w:szCs w:val="20"/>
          <w:lang w:val="hr-HR"/>
        </w:rPr>
        <w:t xml:space="preserve"> ili Vijeće</w:t>
      </w:r>
      <w:r w:rsidR="00CE45D7" w:rsidRPr="00921582">
        <w:rPr>
          <w:rFonts w:ascii="Verdana" w:hAnsi="Verdana" w:cs="Arial"/>
          <w:sz w:val="20"/>
          <w:szCs w:val="20"/>
          <w:lang w:val="hr-HR"/>
        </w:rPr>
        <w:t>) u julu 2016. godine</w:t>
      </w:r>
      <w:r w:rsidR="003D3E76" w:rsidRPr="00921582">
        <w:rPr>
          <w:rFonts w:ascii="Verdana" w:hAnsi="Verdana" w:cs="Arial"/>
          <w:sz w:val="20"/>
          <w:szCs w:val="20"/>
          <w:lang w:val="hr-HR"/>
        </w:rPr>
        <w:t>.</w:t>
      </w:r>
      <w:r w:rsidRPr="00921582">
        <w:rPr>
          <w:rFonts w:ascii="Verdana" w:hAnsi="Verdana" w:cs="Arial"/>
          <w:sz w:val="20"/>
          <w:szCs w:val="20"/>
          <w:lang w:val="hr-HR"/>
        </w:rPr>
        <w:t xml:space="preserve"> </w:t>
      </w:r>
      <w:r w:rsidR="00CE45D7" w:rsidRPr="00921582">
        <w:rPr>
          <w:rFonts w:ascii="Verdana" w:hAnsi="Verdana" w:cs="Arial"/>
          <w:sz w:val="20"/>
          <w:szCs w:val="20"/>
          <w:lang w:val="hr-HR"/>
        </w:rPr>
        <w:t>U</w:t>
      </w:r>
      <w:r w:rsidRPr="00921582">
        <w:rPr>
          <w:rFonts w:ascii="Verdana" w:hAnsi="Verdana" w:cs="Arial"/>
          <w:sz w:val="20"/>
          <w:szCs w:val="20"/>
          <w:lang w:val="hr-HR"/>
        </w:rPr>
        <w:t xml:space="preserve"> </w:t>
      </w:r>
      <w:r w:rsidR="000A4690" w:rsidRPr="00921582">
        <w:rPr>
          <w:rFonts w:ascii="Verdana" w:hAnsi="Verdana" w:cs="Arial"/>
          <w:sz w:val="20"/>
          <w:szCs w:val="20"/>
          <w:lang w:val="hr-HR"/>
        </w:rPr>
        <w:t>septembru 2019</w:t>
      </w:r>
      <w:r w:rsidRPr="00921582">
        <w:rPr>
          <w:rFonts w:ascii="Verdana" w:hAnsi="Verdana" w:cs="Arial"/>
          <w:sz w:val="20"/>
          <w:szCs w:val="20"/>
          <w:lang w:val="hr-HR"/>
        </w:rPr>
        <w:t xml:space="preserve">. godine, </w:t>
      </w:r>
      <w:r w:rsidR="003D3E76" w:rsidRPr="00921582">
        <w:rPr>
          <w:rFonts w:ascii="Verdana" w:hAnsi="Verdana" w:cs="Arial"/>
          <w:sz w:val="20"/>
          <w:szCs w:val="20"/>
          <w:lang w:val="hr-HR"/>
        </w:rPr>
        <w:t xml:space="preserve">VSTV </w:t>
      </w:r>
      <w:r w:rsidR="00CE45D7" w:rsidRPr="00921582">
        <w:rPr>
          <w:rFonts w:ascii="Verdana" w:hAnsi="Verdana" w:cs="Arial"/>
          <w:sz w:val="20"/>
          <w:szCs w:val="20"/>
          <w:lang w:val="hr-HR"/>
        </w:rPr>
        <w:t>BiH</w:t>
      </w:r>
      <w:r w:rsidRPr="00921582">
        <w:rPr>
          <w:rFonts w:ascii="Verdana" w:hAnsi="Verdana" w:cs="Arial"/>
          <w:sz w:val="20"/>
          <w:szCs w:val="20"/>
          <w:lang w:val="hr-HR"/>
        </w:rPr>
        <w:t xml:space="preserve"> je usvojilo </w:t>
      </w:r>
      <w:r w:rsidR="000A4690" w:rsidRPr="00921582">
        <w:rPr>
          <w:rFonts w:ascii="Verdana" w:hAnsi="Verdana" w:cs="Arial"/>
          <w:sz w:val="20"/>
          <w:szCs w:val="20"/>
          <w:lang w:val="hr-HR"/>
        </w:rPr>
        <w:t>dokument “Institucionalni mehanizmi i evidencije za provedbu Instrumenata za praćenje primjene Smjernica za sprečavanje sukoba interesa u pravosuđu</w:t>
      </w:r>
      <w:r w:rsidR="00CE45D7" w:rsidRPr="00921582">
        <w:rPr>
          <w:rFonts w:ascii="Verdana" w:hAnsi="Verdana" w:cs="Arial"/>
          <w:sz w:val="20"/>
          <w:szCs w:val="20"/>
          <w:lang w:val="hr-HR"/>
        </w:rPr>
        <w:t>“.</w:t>
      </w:r>
      <w:r w:rsidR="00045124" w:rsidRPr="00921582">
        <w:rPr>
          <w:rFonts w:ascii="Verdana" w:hAnsi="Verdana" w:cs="Arial"/>
          <w:sz w:val="20"/>
          <w:szCs w:val="20"/>
          <w:lang w:val="hr-HR"/>
        </w:rPr>
        <w:t xml:space="preserve"> </w:t>
      </w:r>
      <w:r w:rsidR="000A4690" w:rsidRPr="00921582">
        <w:rPr>
          <w:rFonts w:ascii="Verdana" w:hAnsi="Verdana" w:cs="Arial"/>
          <w:i/>
          <w:iCs/>
          <w:sz w:val="20"/>
          <w:szCs w:val="20"/>
          <w:lang w:val="hr-HR"/>
        </w:rPr>
        <w:t>Instrumenti za praćenje primjene Smjernica za sprečavanje sukoba interesa u pravosuđu</w:t>
      </w:r>
      <w:r w:rsidR="000A4690" w:rsidRPr="00921582">
        <w:rPr>
          <w:rFonts w:ascii="Verdana" w:hAnsi="Verdana" w:cs="Arial"/>
          <w:sz w:val="20"/>
          <w:szCs w:val="20"/>
          <w:lang w:val="hr-HR"/>
        </w:rPr>
        <w:t xml:space="preserve"> (u daljem tekstu: Instrumenti)</w:t>
      </w:r>
      <w:r w:rsidR="00CE45D7" w:rsidRPr="00921582">
        <w:rPr>
          <w:rFonts w:ascii="Verdana" w:hAnsi="Verdana" w:cs="Arial"/>
          <w:sz w:val="20"/>
          <w:szCs w:val="20"/>
          <w:lang w:val="hr-HR"/>
        </w:rPr>
        <w:t xml:space="preserve"> </w:t>
      </w:r>
      <w:r w:rsidR="003B00F2">
        <w:rPr>
          <w:rFonts w:ascii="Verdana" w:hAnsi="Verdana" w:cs="Arial"/>
          <w:sz w:val="20"/>
          <w:szCs w:val="20"/>
          <w:lang w:val="hr-HR"/>
        </w:rPr>
        <w:t>predstavljaju</w:t>
      </w:r>
      <w:r w:rsidR="00CE45D7" w:rsidRPr="00921582">
        <w:rPr>
          <w:rFonts w:ascii="Verdana" w:hAnsi="Verdana" w:cs="Arial"/>
          <w:sz w:val="20"/>
          <w:szCs w:val="20"/>
          <w:lang w:val="hr-HR"/>
        </w:rPr>
        <w:t xml:space="preserve"> alat</w:t>
      </w:r>
      <w:r w:rsidR="003B00F2">
        <w:rPr>
          <w:rFonts w:ascii="Verdana" w:hAnsi="Verdana" w:cs="Arial"/>
          <w:sz w:val="20"/>
          <w:szCs w:val="20"/>
          <w:lang w:val="hr-HR"/>
        </w:rPr>
        <w:t xml:space="preserve"> za</w:t>
      </w:r>
      <w:r w:rsidR="00CE45D7" w:rsidRPr="00921582">
        <w:rPr>
          <w:rFonts w:ascii="Verdana" w:hAnsi="Verdana" w:cs="Arial"/>
          <w:sz w:val="20"/>
          <w:szCs w:val="20"/>
          <w:lang w:val="hr-HR"/>
        </w:rPr>
        <w:t xml:space="preserve"> monitoring primjene Sm</w:t>
      </w:r>
      <w:r w:rsidR="00C71731">
        <w:rPr>
          <w:rFonts w:ascii="Verdana" w:hAnsi="Verdana" w:cs="Arial"/>
          <w:sz w:val="20"/>
          <w:szCs w:val="20"/>
          <w:lang w:val="hr-HR"/>
        </w:rPr>
        <w:t xml:space="preserve">jernica </w:t>
      </w:r>
      <w:r w:rsidR="003B00F2">
        <w:rPr>
          <w:rFonts w:ascii="Verdana" w:hAnsi="Verdana" w:cs="Arial"/>
          <w:sz w:val="20"/>
          <w:szCs w:val="20"/>
          <w:lang w:val="hr-HR"/>
        </w:rPr>
        <w:t xml:space="preserve">u </w:t>
      </w:r>
      <w:r w:rsidR="00C71731">
        <w:rPr>
          <w:rFonts w:ascii="Verdana" w:hAnsi="Verdana" w:cs="Arial"/>
          <w:sz w:val="20"/>
          <w:szCs w:val="20"/>
          <w:lang w:val="hr-HR"/>
        </w:rPr>
        <w:t>pravosudni</w:t>
      </w:r>
      <w:r w:rsidR="003B00F2">
        <w:rPr>
          <w:rFonts w:ascii="Verdana" w:hAnsi="Verdana" w:cs="Arial"/>
          <w:sz w:val="20"/>
          <w:szCs w:val="20"/>
          <w:lang w:val="hr-HR"/>
        </w:rPr>
        <w:t>m</w:t>
      </w:r>
      <w:r w:rsidR="00C71731">
        <w:rPr>
          <w:rFonts w:ascii="Verdana" w:hAnsi="Verdana" w:cs="Arial"/>
          <w:sz w:val="20"/>
          <w:szCs w:val="20"/>
          <w:lang w:val="hr-HR"/>
        </w:rPr>
        <w:t xml:space="preserve"> institucija</w:t>
      </w:r>
      <w:r w:rsidR="003B00F2">
        <w:rPr>
          <w:rFonts w:ascii="Verdana" w:hAnsi="Verdana" w:cs="Arial"/>
          <w:sz w:val="20"/>
          <w:szCs w:val="20"/>
          <w:lang w:val="hr-HR"/>
        </w:rPr>
        <w:t>ma</w:t>
      </w:r>
      <w:r w:rsidR="00C71731">
        <w:rPr>
          <w:rFonts w:ascii="Verdana" w:hAnsi="Verdana" w:cs="Arial"/>
          <w:sz w:val="20"/>
          <w:szCs w:val="20"/>
          <w:lang w:val="hr-HR"/>
        </w:rPr>
        <w:t>, koji se z</w:t>
      </w:r>
      <w:r w:rsidR="00045124" w:rsidRPr="00921582">
        <w:rPr>
          <w:rFonts w:ascii="Verdana" w:hAnsi="Verdana" w:cs="Arial"/>
          <w:sz w:val="20"/>
          <w:szCs w:val="20"/>
          <w:lang w:val="hr-HR"/>
        </w:rPr>
        <w:t>asnivaju</w:t>
      </w:r>
      <w:r w:rsidR="00CE45D7" w:rsidRPr="00921582">
        <w:rPr>
          <w:rFonts w:ascii="Verdana" w:hAnsi="Verdana" w:cs="Arial"/>
          <w:sz w:val="20"/>
          <w:szCs w:val="20"/>
          <w:lang w:val="hr-HR"/>
        </w:rPr>
        <w:t xml:space="preserve"> se</w:t>
      </w:r>
      <w:r w:rsidR="00045124" w:rsidRPr="00921582">
        <w:rPr>
          <w:rFonts w:ascii="Verdana" w:hAnsi="Verdana" w:cs="Arial"/>
          <w:sz w:val="20"/>
          <w:szCs w:val="20"/>
          <w:lang w:val="hr-HR"/>
        </w:rPr>
        <w:t xml:space="preserve"> na šest</w:t>
      </w:r>
      <w:r w:rsidR="00CE45D7" w:rsidRPr="00921582">
        <w:rPr>
          <w:rFonts w:ascii="Verdana" w:hAnsi="Verdana" w:cs="Arial"/>
          <w:sz w:val="20"/>
          <w:szCs w:val="20"/>
          <w:lang w:val="hr-HR"/>
        </w:rPr>
        <w:t xml:space="preserve"> grupa indikatora</w:t>
      </w:r>
      <w:r w:rsidR="00045124" w:rsidRPr="00921582">
        <w:rPr>
          <w:rFonts w:ascii="Verdana" w:hAnsi="Verdana" w:cs="Arial"/>
          <w:sz w:val="20"/>
          <w:szCs w:val="20"/>
          <w:lang w:val="hr-HR"/>
        </w:rPr>
        <w:t>.</w:t>
      </w:r>
      <w:r w:rsidR="00FC0E30" w:rsidRPr="00921582">
        <w:rPr>
          <w:rFonts w:ascii="Verdana" w:hAnsi="Verdana" w:cs="Arial"/>
          <w:sz w:val="20"/>
          <w:szCs w:val="20"/>
          <w:lang w:val="hr-HR"/>
        </w:rPr>
        <w:t xml:space="preserve"> </w:t>
      </w:r>
      <w:r w:rsidR="00C71731">
        <w:rPr>
          <w:rFonts w:ascii="Verdana" w:hAnsi="Verdana" w:cs="Arial"/>
          <w:sz w:val="20"/>
          <w:szCs w:val="20"/>
          <w:lang w:val="hr-HR"/>
        </w:rPr>
        <w:t>VSTV BiH je inicijalno usvojio</w:t>
      </w:r>
      <w:r w:rsidR="003D3E76" w:rsidRPr="00921582">
        <w:rPr>
          <w:rFonts w:ascii="Verdana" w:hAnsi="Verdana" w:cs="Arial"/>
          <w:sz w:val="20"/>
          <w:szCs w:val="20"/>
          <w:lang w:val="hr-HR"/>
        </w:rPr>
        <w:t xml:space="preserve"> Instrumente koje je sačinio Projekt </w:t>
      </w:r>
      <w:r w:rsidR="003B00F2">
        <w:rPr>
          <w:rFonts w:ascii="Verdana" w:hAnsi="Verdana" w:cs="Arial"/>
          <w:sz w:val="20"/>
          <w:szCs w:val="20"/>
          <w:lang w:val="hr-HR"/>
        </w:rPr>
        <w:t>USAID-a</w:t>
      </w:r>
      <w:r w:rsidR="003B00F2" w:rsidRPr="00921582">
        <w:rPr>
          <w:rFonts w:ascii="Verdana" w:hAnsi="Verdana" w:cs="Arial"/>
          <w:sz w:val="20"/>
          <w:szCs w:val="20"/>
          <w:lang w:val="hr-HR"/>
        </w:rPr>
        <w:t xml:space="preserve"> </w:t>
      </w:r>
      <w:r w:rsidR="00C71731">
        <w:rPr>
          <w:rFonts w:ascii="Verdana" w:hAnsi="Verdana" w:cs="Arial"/>
          <w:sz w:val="20"/>
          <w:szCs w:val="20"/>
          <w:lang w:val="hr-HR"/>
        </w:rPr>
        <w:t>„P</w:t>
      </w:r>
      <w:r w:rsidR="003D3E76" w:rsidRPr="00921582">
        <w:rPr>
          <w:rFonts w:ascii="Verdana" w:hAnsi="Verdana" w:cs="Arial"/>
          <w:sz w:val="20"/>
          <w:szCs w:val="20"/>
          <w:lang w:val="hr-HR"/>
        </w:rPr>
        <w:t>ravosuđ</w:t>
      </w:r>
      <w:r w:rsidR="00C71731">
        <w:rPr>
          <w:rFonts w:ascii="Verdana" w:hAnsi="Verdana" w:cs="Arial"/>
          <w:sz w:val="20"/>
          <w:szCs w:val="20"/>
          <w:lang w:val="hr-HR"/>
        </w:rPr>
        <w:t>e protiv korupcije“ (u daljem tekstu: Projekt)</w:t>
      </w:r>
      <w:r w:rsidR="003D3E76" w:rsidRPr="00921582">
        <w:rPr>
          <w:rFonts w:ascii="Verdana" w:hAnsi="Verdana" w:cs="Arial"/>
          <w:sz w:val="20"/>
          <w:szCs w:val="20"/>
          <w:lang w:val="hr-HR"/>
        </w:rPr>
        <w:t xml:space="preserve"> na osnovu Smjernica, a u sklopu realizacije Plana rada Radne grupe za unapređenje integriteta i odgovornosti nosilaca pravosudnih funkcija. Instrumenti </w:t>
      </w:r>
      <w:r w:rsidR="003D3E76" w:rsidRPr="00452536">
        <w:rPr>
          <w:rFonts w:ascii="Verdana" w:hAnsi="Verdana" w:cs="Arial"/>
          <w:sz w:val="20"/>
          <w:szCs w:val="20"/>
          <w:lang w:val="hr-HR"/>
        </w:rPr>
        <w:t xml:space="preserve">obuhvataju sljedeće grupe indikatora: </w:t>
      </w:r>
    </w:p>
    <w:p w14:paraId="68E1F388" w14:textId="77777777" w:rsidR="00C71731" w:rsidRPr="00452536" w:rsidRDefault="003D3E76" w:rsidP="00D84178">
      <w:pPr>
        <w:spacing w:after="0" w:line="276" w:lineRule="auto"/>
        <w:jc w:val="both"/>
        <w:rPr>
          <w:rFonts w:ascii="Verdana" w:hAnsi="Verdana" w:cs="Arial"/>
          <w:sz w:val="20"/>
          <w:szCs w:val="20"/>
          <w:lang w:val="hr-HR"/>
        </w:rPr>
      </w:pPr>
      <w:r w:rsidRPr="00452536">
        <w:rPr>
          <w:rFonts w:ascii="Verdana" w:hAnsi="Verdana" w:cs="Arial"/>
          <w:sz w:val="20"/>
          <w:szCs w:val="20"/>
          <w:lang w:val="hr-HR"/>
        </w:rPr>
        <w:t>A. Nespojivost i dodatne aktivnosti nosilaca pravosudnih institucija</w:t>
      </w:r>
      <w:r w:rsidR="009849C6" w:rsidRPr="00452536">
        <w:rPr>
          <w:rFonts w:ascii="Verdana" w:hAnsi="Verdana" w:cs="Arial"/>
          <w:sz w:val="20"/>
          <w:szCs w:val="20"/>
          <w:lang w:val="hr-HR"/>
        </w:rPr>
        <w:t>,</w:t>
      </w:r>
      <w:r w:rsidRPr="00452536">
        <w:rPr>
          <w:rFonts w:ascii="Verdana" w:hAnsi="Verdana" w:cs="Arial"/>
          <w:sz w:val="20"/>
          <w:szCs w:val="20"/>
          <w:lang w:val="hr-HR"/>
        </w:rPr>
        <w:t xml:space="preserve"> </w:t>
      </w:r>
    </w:p>
    <w:p w14:paraId="3F48877E" w14:textId="77777777" w:rsidR="00C71731" w:rsidRPr="00452536" w:rsidRDefault="003D3E76" w:rsidP="00D84178">
      <w:pPr>
        <w:spacing w:after="0" w:line="276" w:lineRule="auto"/>
        <w:jc w:val="both"/>
        <w:rPr>
          <w:rFonts w:ascii="Verdana" w:hAnsi="Verdana" w:cs="Arial"/>
          <w:sz w:val="20"/>
          <w:szCs w:val="20"/>
          <w:lang w:val="hr-HR"/>
        </w:rPr>
      </w:pPr>
      <w:r w:rsidRPr="00452536">
        <w:rPr>
          <w:rFonts w:ascii="Verdana" w:hAnsi="Verdana" w:cs="Arial"/>
          <w:sz w:val="20"/>
          <w:szCs w:val="20"/>
          <w:lang w:val="hr-HR"/>
        </w:rPr>
        <w:t>B. Izvještavanje o imovini, prihodima, obavezama i interesima</w:t>
      </w:r>
      <w:r w:rsidR="009849C6" w:rsidRPr="00452536">
        <w:rPr>
          <w:rFonts w:ascii="Verdana" w:hAnsi="Verdana" w:cs="Arial"/>
          <w:sz w:val="20"/>
          <w:szCs w:val="20"/>
          <w:lang w:val="hr-HR"/>
        </w:rPr>
        <w:t>,</w:t>
      </w:r>
      <w:r w:rsidRPr="00452536">
        <w:rPr>
          <w:rFonts w:ascii="Verdana" w:hAnsi="Verdana" w:cs="Arial"/>
          <w:sz w:val="20"/>
          <w:szCs w:val="20"/>
          <w:lang w:val="hr-HR"/>
        </w:rPr>
        <w:t xml:space="preserve"> </w:t>
      </w:r>
    </w:p>
    <w:p w14:paraId="5C82CA82" w14:textId="77777777" w:rsidR="00C71731" w:rsidRPr="00452536" w:rsidRDefault="003D3E76" w:rsidP="00D84178">
      <w:pPr>
        <w:spacing w:after="0" w:line="276" w:lineRule="auto"/>
        <w:jc w:val="both"/>
        <w:rPr>
          <w:rFonts w:ascii="Verdana" w:hAnsi="Verdana" w:cs="Arial"/>
          <w:sz w:val="20"/>
          <w:szCs w:val="20"/>
          <w:lang w:val="hr-HR"/>
        </w:rPr>
      </w:pPr>
      <w:r w:rsidRPr="00452536">
        <w:rPr>
          <w:rFonts w:ascii="Verdana" w:hAnsi="Verdana" w:cs="Arial"/>
          <w:sz w:val="20"/>
          <w:szCs w:val="20"/>
          <w:lang w:val="hr-HR"/>
        </w:rPr>
        <w:t>C. Primanje poklona  i drugih kori</w:t>
      </w:r>
      <w:r w:rsidR="009849C6" w:rsidRPr="00452536">
        <w:rPr>
          <w:rFonts w:ascii="Verdana" w:hAnsi="Verdana" w:cs="Arial"/>
          <w:sz w:val="20"/>
          <w:szCs w:val="20"/>
          <w:lang w:val="hr-HR"/>
        </w:rPr>
        <w:t>sti,</w:t>
      </w:r>
    </w:p>
    <w:p w14:paraId="209FBFFC" w14:textId="77777777" w:rsidR="00C71731" w:rsidRPr="00452536" w:rsidRDefault="003D3E76" w:rsidP="00D84178">
      <w:pPr>
        <w:spacing w:after="0" w:line="276" w:lineRule="auto"/>
        <w:jc w:val="both"/>
        <w:rPr>
          <w:rFonts w:ascii="Verdana" w:hAnsi="Verdana" w:cs="Arial"/>
          <w:sz w:val="20"/>
          <w:szCs w:val="20"/>
          <w:lang w:val="hr-HR"/>
        </w:rPr>
      </w:pPr>
      <w:r w:rsidRPr="00452536">
        <w:rPr>
          <w:rFonts w:ascii="Verdana" w:hAnsi="Verdana" w:cs="Arial"/>
          <w:sz w:val="20"/>
          <w:szCs w:val="20"/>
          <w:lang w:val="hr-HR"/>
        </w:rPr>
        <w:t>D. Kontakti sa trećim licima i zloupotreba povjerljivih informacija</w:t>
      </w:r>
      <w:r w:rsidR="009849C6" w:rsidRPr="00452536">
        <w:rPr>
          <w:rFonts w:ascii="Verdana" w:hAnsi="Verdana" w:cs="Arial"/>
          <w:sz w:val="20"/>
          <w:szCs w:val="20"/>
          <w:lang w:val="hr-HR"/>
        </w:rPr>
        <w:t>,</w:t>
      </w:r>
      <w:r w:rsidRPr="00452536">
        <w:rPr>
          <w:rFonts w:ascii="Verdana" w:hAnsi="Verdana" w:cs="Arial"/>
          <w:sz w:val="20"/>
          <w:szCs w:val="20"/>
          <w:lang w:val="hr-HR"/>
        </w:rPr>
        <w:t xml:space="preserve"> </w:t>
      </w:r>
    </w:p>
    <w:p w14:paraId="2B94E976" w14:textId="77777777" w:rsidR="00C71731" w:rsidRPr="00452536" w:rsidRDefault="003D3E76" w:rsidP="00D84178">
      <w:pPr>
        <w:spacing w:after="0" w:line="276" w:lineRule="auto"/>
        <w:jc w:val="both"/>
        <w:rPr>
          <w:rFonts w:ascii="Verdana" w:hAnsi="Verdana" w:cs="Arial"/>
          <w:sz w:val="20"/>
          <w:szCs w:val="20"/>
          <w:lang w:val="hr-HR"/>
        </w:rPr>
      </w:pPr>
      <w:r w:rsidRPr="00452536">
        <w:rPr>
          <w:rFonts w:ascii="Verdana" w:hAnsi="Verdana" w:cs="Arial"/>
          <w:sz w:val="20"/>
          <w:szCs w:val="20"/>
          <w:lang w:val="hr-HR"/>
        </w:rPr>
        <w:t xml:space="preserve">E. Nepotizam i </w:t>
      </w:r>
    </w:p>
    <w:p w14:paraId="0ACD0F37" w14:textId="77777777" w:rsidR="003712D8" w:rsidRDefault="003D3E76" w:rsidP="00D84178">
      <w:pPr>
        <w:spacing w:after="0" w:line="276" w:lineRule="auto"/>
        <w:jc w:val="both"/>
        <w:rPr>
          <w:rFonts w:ascii="Verdana" w:hAnsi="Verdana" w:cs="Arial"/>
          <w:sz w:val="20"/>
          <w:szCs w:val="20"/>
          <w:lang w:val="hr-HR"/>
        </w:rPr>
      </w:pPr>
      <w:r w:rsidRPr="00452536">
        <w:rPr>
          <w:rFonts w:ascii="Verdana" w:hAnsi="Verdana" w:cs="Arial"/>
          <w:sz w:val="20"/>
          <w:szCs w:val="20"/>
          <w:lang w:val="hr-HR"/>
        </w:rPr>
        <w:t>F. Edukacija i razvoj svijesti o sprečavanju sukoba interesa u pravosuđu</w:t>
      </w:r>
      <w:r w:rsidR="009849C6" w:rsidRPr="00452536">
        <w:rPr>
          <w:rFonts w:ascii="Verdana" w:hAnsi="Verdana" w:cs="Arial"/>
          <w:sz w:val="20"/>
          <w:szCs w:val="20"/>
          <w:lang w:val="hr-HR"/>
        </w:rPr>
        <w:t>.</w:t>
      </w:r>
      <w:r w:rsidRPr="00452536">
        <w:rPr>
          <w:rFonts w:ascii="Verdana" w:hAnsi="Verdana" w:cs="Arial"/>
          <w:sz w:val="20"/>
          <w:szCs w:val="20"/>
          <w:lang w:val="hr-HR"/>
        </w:rPr>
        <w:t xml:space="preserve"> </w:t>
      </w:r>
    </w:p>
    <w:p w14:paraId="77CD5F0F" w14:textId="77777777" w:rsidR="003712D8" w:rsidRDefault="003712D8" w:rsidP="00D84178">
      <w:pPr>
        <w:spacing w:after="0" w:line="276" w:lineRule="auto"/>
        <w:jc w:val="both"/>
        <w:rPr>
          <w:rFonts w:ascii="Verdana" w:hAnsi="Verdana" w:cs="Arial"/>
          <w:sz w:val="20"/>
          <w:szCs w:val="20"/>
          <w:lang w:val="hr-HR"/>
        </w:rPr>
      </w:pPr>
    </w:p>
    <w:p w14:paraId="1CC4B77D" w14:textId="77777777" w:rsidR="00447F31" w:rsidRDefault="00447F31" w:rsidP="00D84178">
      <w:pPr>
        <w:spacing w:after="0" w:line="276" w:lineRule="auto"/>
        <w:jc w:val="both"/>
        <w:rPr>
          <w:rFonts w:ascii="Verdana" w:hAnsi="Verdana" w:cs="Arial"/>
          <w:sz w:val="20"/>
          <w:szCs w:val="20"/>
          <w:lang w:val="hr-HR"/>
        </w:rPr>
      </w:pPr>
      <w:r w:rsidRPr="00921582">
        <w:rPr>
          <w:rFonts w:ascii="Verdana" w:hAnsi="Verdana" w:cs="Arial"/>
          <w:sz w:val="20"/>
          <w:szCs w:val="20"/>
          <w:lang w:val="hr-HR"/>
        </w:rPr>
        <w:t>Priroda Smjernica</w:t>
      </w:r>
      <w:r w:rsidR="00392124" w:rsidRPr="00921582">
        <w:rPr>
          <w:rFonts w:ascii="Verdana" w:hAnsi="Verdana" w:cs="Arial"/>
          <w:sz w:val="20"/>
          <w:szCs w:val="20"/>
          <w:lang w:val="hr-HR"/>
        </w:rPr>
        <w:t xml:space="preserve"> i Instrumenata</w:t>
      </w:r>
      <w:r w:rsidRPr="00921582">
        <w:rPr>
          <w:rFonts w:ascii="Verdana" w:hAnsi="Verdana" w:cs="Arial"/>
          <w:sz w:val="20"/>
          <w:szCs w:val="20"/>
          <w:lang w:val="hr-HR"/>
        </w:rPr>
        <w:t xml:space="preserve"> obavezuje sve pravosudne institucije i sve druge relevantne institucije koje djeluju unutar p</w:t>
      </w:r>
      <w:r w:rsidR="00CE45D7" w:rsidRPr="00921582">
        <w:rPr>
          <w:rFonts w:ascii="Verdana" w:hAnsi="Verdana" w:cs="Arial"/>
          <w:sz w:val="20"/>
          <w:szCs w:val="20"/>
          <w:lang w:val="hr-HR"/>
        </w:rPr>
        <w:t xml:space="preserve">ravosuđa u Bosni i Hercegovini </w:t>
      </w:r>
      <w:r w:rsidRPr="00921582">
        <w:rPr>
          <w:rFonts w:ascii="Verdana" w:hAnsi="Verdana" w:cs="Arial"/>
          <w:sz w:val="20"/>
          <w:szCs w:val="20"/>
          <w:lang w:val="hr-HR"/>
        </w:rPr>
        <w:t>na saradnju u realizaciji</w:t>
      </w:r>
      <w:r w:rsidR="0084798D" w:rsidRPr="00921582">
        <w:rPr>
          <w:rFonts w:ascii="Verdana" w:hAnsi="Verdana" w:cs="Arial"/>
          <w:sz w:val="20"/>
          <w:szCs w:val="20"/>
          <w:lang w:val="hr-HR"/>
        </w:rPr>
        <w:t xml:space="preserve"> primjene Smjernica i praćenju njihove primjene</w:t>
      </w:r>
      <w:r w:rsidRPr="00921582">
        <w:rPr>
          <w:rFonts w:ascii="Verdana" w:hAnsi="Verdana" w:cs="Arial"/>
          <w:sz w:val="20"/>
          <w:szCs w:val="20"/>
          <w:lang w:val="hr-HR"/>
        </w:rPr>
        <w:t>.</w:t>
      </w:r>
    </w:p>
    <w:p w14:paraId="41C005C2" w14:textId="77777777" w:rsidR="003712D8" w:rsidRPr="00921582" w:rsidRDefault="003712D8" w:rsidP="00D84178">
      <w:pPr>
        <w:spacing w:after="0" w:line="276" w:lineRule="auto"/>
        <w:jc w:val="both"/>
        <w:rPr>
          <w:rFonts w:ascii="Verdana" w:hAnsi="Verdana" w:cs="Arial"/>
          <w:sz w:val="20"/>
          <w:szCs w:val="20"/>
          <w:lang w:val="hr-HR"/>
        </w:rPr>
      </w:pPr>
    </w:p>
    <w:p w14:paraId="7EA9CB06" w14:textId="77777777" w:rsidR="00392124" w:rsidRPr="00921582" w:rsidRDefault="00392124" w:rsidP="00D84178">
      <w:pPr>
        <w:spacing w:line="276" w:lineRule="auto"/>
        <w:rPr>
          <w:rStyle w:val="BookTitle"/>
          <w:rFonts w:ascii="Verdana" w:hAnsi="Verdana" w:cs="Arial"/>
          <w:sz w:val="20"/>
          <w:szCs w:val="20"/>
        </w:rPr>
      </w:pPr>
      <w:r w:rsidRPr="00921582">
        <w:rPr>
          <w:rStyle w:val="BookTitle"/>
          <w:rFonts w:ascii="Verdana" w:hAnsi="Verdana" w:cs="Arial"/>
          <w:sz w:val="20"/>
          <w:szCs w:val="20"/>
        </w:rPr>
        <w:t>Smjernice za sprečavanje sukoba interesa u pravosuđu</w:t>
      </w:r>
    </w:p>
    <w:p w14:paraId="52DEA66E" w14:textId="77777777" w:rsidR="00ED53EA" w:rsidRPr="00921582" w:rsidRDefault="00ED53EA" w:rsidP="00D84178">
      <w:pPr>
        <w:spacing w:line="276" w:lineRule="auto"/>
        <w:jc w:val="both"/>
        <w:rPr>
          <w:rFonts w:ascii="Verdana" w:hAnsi="Verdana"/>
          <w:sz w:val="20"/>
          <w:szCs w:val="20"/>
        </w:rPr>
      </w:pPr>
      <w:r w:rsidRPr="00921582">
        <w:rPr>
          <w:rFonts w:ascii="Verdana" w:hAnsi="Verdana"/>
          <w:sz w:val="20"/>
          <w:szCs w:val="20"/>
        </w:rPr>
        <w:t xml:space="preserve">Smjernice predstavljaju skup preporuka i praktičnih mjera namijenjenih nosiocima pravosudnih funkcija, s ciljem da im pomognu u prepoznavanju, razumijevanju i pravilnom postupanju u situacijama koje mogu dovesti do sukoba interesa. Njihova svrha je da ukažu na moguće rizike od konflikta između privatnog, odnosno ličnog interesa nosioca funkcije i javnog interesa koji </w:t>
      </w:r>
      <w:r w:rsidR="008B1869">
        <w:rPr>
          <w:rFonts w:ascii="Verdana" w:hAnsi="Verdana"/>
          <w:sz w:val="20"/>
          <w:szCs w:val="20"/>
        </w:rPr>
        <w:t>proizlazi iz obavljanja pravosudne</w:t>
      </w:r>
      <w:r w:rsidRPr="00921582">
        <w:rPr>
          <w:rFonts w:ascii="Verdana" w:hAnsi="Verdana"/>
          <w:sz w:val="20"/>
          <w:szCs w:val="20"/>
        </w:rPr>
        <w:t xml:space="preserve"> dužnosti.</w:t>
      </w:r>
      <w:r>
        <w:rPr>
          <w:rFonts w:ascii="Verdana" w:hAnsi="Verdana"/>
          <w:sz w:val="20"/>
          <w:szCs w:val="20"/>
          <w:lang w:val="bs-Latn-BA"/>
        </w:rPr>
        <w:t xml:space="preserve"> </w:t>
      </w:r>
      <w:r w:rsidRPr="00921582">
        <w:rPr>
          <w:rFonts w:ascii="Verdana" w:hAnsi="Verdana"/>
          <w:sz w:val="20"/>
          <w:szCs w:val="20"/>
        </w:rPr>
        <w:t>Ove smjernice polaze od realne pretpostavke da postojanje privatnog interesa nije uvijek moguće izbjeći, ali ističu važnost njegovog pravovremenog identifikovanja, transparentnog objelodanjivanja i korištenja odgovarajućih mehanizama za upravlja</w:t>
      </w:r>
      <w:r w:rsidR="00F9315C" w:rsidRPr="00F9315C">
        <w:rPr>
          <w:rFonts w:ascii="Verdana" w:hAnsi="Verdana"/>
          <w:sz w:val="20"/>
          <w:szCs w:val="20"/>
        </w:rPr>
        <w:t xml:space="preserve">nje takvim situacijama. </w:t>
      </w:r>
      <w:r w:rsidR="00F9315C">
        <w:rPr>
          <w:rFonts w:ascii="Verdana" w:hAnsi="Verdana"/>
          <w:sz w:val="20"/>
          <w:szCs w:val="20"/>
          <w:lang w:val="bs-Latn-BA"/>
        </w:rPr>
        <w:t>N</w:t>
      </w:r>
      <w:r w:rsidRPr="00921582">
        <w:rPr>
          <w:rFonts w:ascii="Verdana" w:hAnsi="Verdana"/>
          <w:sz w:val="20"/>
          <w:szCs w:val="20"/>
        </w:rPr>
        <w:t xml:space="preserve">astoji </w:t>
      </w:r>
      <w:r w:rsidR="00F9315C">
        <w:rPr>
          <w:rFonts w:ascii="Verdana" w:hAnsi="Verdana"/>
          <w:sz w:val="20"/>
          <w:szCs w:val="20"/>
          <w:lang w:val="bs-Latn-BA"/>
        </w:rPr>
        <w:t xml:space="preserve"> se </w:t>
      </w:r>
      <w:r w:rsidRPr="00921582">
        <w:rPr>
          <w:rFonts w:ascii="Verdana" w:hAnsi="Verdana"/>
          <w:sz w:val="20"/>
          <w:szCs w:val="20"/>
        </w:rPr>
        <w:t xml:space="preserve">spriječiti svaka mogućnost zloupotrebe službenog položaja ili nezakonitog pribavljanja koristi, bilo za samog nosioca </w:t>
      </w:r>
      <w:r w:rsidR="00C71731">
        <w:rPr>
          <w:rFonts w:ascii="Verdana" w:hAnsi="Verdana"/>
          <w:sz w:val="20"/>
          <w:szCs w:val="20"/>
          <w:lang w:val="bs-Latn-BA"/>
        </w:rPr>
        <w:t xml:space="preserve">pravosudne </w:t>
      </w:r>
      <w:r w:rsidRPr="00921582">
        <w:rPr>
          <w:rFonts w:ascii="Verdana" w:hAnsi="Verdana"/>
          <w:sz w:val="20"/>
          <w:szCs w:val="20"/>
        </w:rPr>
        <w:t>funk</w:t>
      </w:r>
      <w:r w:rsidR="00F9315C" w:rsidRPr="00F9315C">
        <w:rPr>
          <w:rFonts w:ascii="Verdana" w:hAnsi="Verdana"/>
          <w:sz w:val="20"/>
          <w:szCs w:val="20"/>
        </w:rPr>
        <w:t>cije ili za osobe s kojima je</w:t>
      </w:r>
      <w:r w:rsidRPr="00921582">
        <w:rPr>
          <w:rFonts w:ascii="Verdana" w:hAnsi="Verdana"/>
          <w:sz w:val="20"/>
          <w:szCs w:val="20"/>
        </w:rPr>
        <w:t xml:space="preserve"> interesno povezan.</w:t>
      </w:r>
    </w:p>
    <w:p w14:paraId="42A3B08A" w14:textId="77777777" w:rsidR="00ED53EA" w:rsidRPr="00921582" w:rsidRDefault="00ED53EA" w:rsidP="00D84178">
      <w:pPr>
        <w:spacing w:line="276" w:lineRule="auto"/>
        <w:jc w:val="both"/>
        <w:rPr>
          <w:rFonts w:ascii="Verdana" w:hAnsi="Verdana"/>
          <w:sz w:val="20"/>
          <w:szCs w:val="20"/>
        </w:rPr>
      </w:pPr>
      <w:r w:rsidRPr="00921582">
        <w:rPr>
          <w:rFonts w:ascii="Verdana" w:hAnsi="Verdana"/>
          <w:sz w:val="20"/>
          <w:szCs w:val="20"/>
        </w:rPr>
        <w:t xml:space="preserve">Također, </w:t>
      </w:r>
      <w:r w:rsidR="00C71731">
        <w:rPr>
          <w:rFonts w:ascii="Verdana" w:hAnsi="Verdana"/>
          <w:sz w:val="20"/>
          <w:szCs w:val="20"/>
          <w:lang w:val="bs-Latn-BA"/>
        </w:rPr>
        <w:t>S</w:t>
      </w:r>
      <w:r w:rsidRPr="00921582">
        <w:rPr>
          <w:rFonts w:ascii="Verdana" w:hAnsi="Verdana"/>
          <w:sz w:val="20"/>
          <w:szCs w:val="20"/>
        </w:rPr>
        <w:t>mjernice imaju važnu edukativnu i preventivnu funkciju, jer podstiču izgradnju profesionalne etike, lične odgovornosti i svijesti kod nosilaca pravosudnih funkcija o značaju očuvanja nepristrasnosti, integriteta i povjerenja javnosti u pravosuđe. Posebna pažnja posvećena je i situacijama koje mogu predstavljati stvarni, potencijalni ili percipirani sukob interesa, naglašavajući potrebu za odgovornim i transparentnim djelovanjem u svim takvim okolnostima.</w:t>
      </w:r>
    </w:p>
    <w:p w14:paraId="1CB86B29" w14:textId="77777777" w:rsidR="00AB4307" w:rsidRPr="00452536" w:rsidRDefault="00AB4307" w:rsidP="00D84178">
      <w:pPr>
        <w:spacing w:line="276" w:lineRule="auto"/>
        <w:rPr>
          <w:rFonts w:ascii="Verdana" w:hAnsi="Verdana" w:cs="Arial"/>
          <w:sz w:val="20"/>
          <w:szCs w:val="20"/>
          <w:lang w:val="hr-HR"/>
        </w:rPr>
      </w:pPr>
      <w:r w:rsidRPr="00452536">
        <w:rPr>
          <w:rFonts w:ascii="Verdana" w:hAnsi="Verdana" w:cs="Arial"/>
          <w:sz w:val="20"/>
          <w:szCs w:val="20"/>
          <w:lang w:val="hr-HR"/>
        </w:rPr>
        <w:t xml:space="preserve">Smjernice </w:t>
      </w:r>
      <w:r w:rsidR="002C7D68" w:rsidRPr="00452536">
        <w:rPr>
          <w:rFonts w:ascii="Verdana" w:hAnsi="Verdana" w:cs="Arial"/>
          <w:sz w:val="20"/>
          <w:szCs w:val="20"/>
          <w:lang w:val="hr-HR"/>
        </w:rPr>
        <w:t xml:space="preserve">se odnose na </w:t>
      </w:r>
      <w:r w:rsidRPr="00452536">
        <w:rPr>
          <w:rFonts w:ascii="Verdana" w:hAnsi="Verdana" w:cs="Arial"/>
          <w:sz w:val="20"/>
          <w:szCs w:val="20"/>
          <w:lang w:val="hr-HR"/>
        </w:rPr>
        <w:t xml:space="preserve"> slijedeće oblasti:</w:t>
      </w:r>
    </w:p>
    <w:p w14:paraId="69F3D33E" w14:textId="77777777" w:rsidR="00AB4307" w:rsidRPr="00452536" w:rsidRDefault="00AB4307" w:rsidP="00D84178">
      <w:pPr>
        <w:pStyle w:val="ListParagraph"/>
        <w:numPr>
          <w:ilvl w:val="0"/>
          <w:numId w:val="3"/>
        </w:numPr>
        <w:spacing w:line="276" w:lineRule="auto"/>
        <w:ind w:left="851" w:hanging="425"/>
        <w:rPr>
          <w:rFonts w:ascii="Verdana" w:hAnsi="Verdana" w:cs="Arial"/>
          <w:color w:val="auto"/>
          <w:sz w:val="20"/>
          <w:szCs w:val="20"/>
          <w:lang w:val="hr-HR"/>
        </w:rPr>
      </w:pPr>
      <w:r w:rsidRPr="00452536">
        <w:rPr>
          <w:rFonts w:ascii="Verdana" w:hAnsi="Verdana" w:cs="Arial"/>
          <w:color w:val="auto"/>
          <w:sz w:val="20"/>
          <w:szCs w:val="20"/>
          <w:lang w:val="hr-HR"/>
        </w:rPr>
        <w:lastRenderedPageBreak/>
        <w:t>Nespojivost i dodatne aktivnosti nosilaca pravosudnih institucija</w:t>
      </w:r>
    </w:p>
    <w:p w14:paraId="49FBD913" w14:textId="77777777" w:rsidR="00AB4307" w:rsidRPr="00452536" w:rsidRDefault="00AB4307" w:rsidP="00D84178">
      <w:pPr>
        <w:pStyle w:val="ListParagraph"/>
        <w:numPr>
          <w:ilvl w:val="0"/>
          <w:numId w:val="3"/>
        </w:numPr>
        <w:spacing w:line="276" w:lineRule="auto"/>
        <w:ind w:left="851" w:hanging="425"/>
        <w:rPr>
          <w:rFonts w:ascii="Verdana" w:hAnsi="Verdana" w:cs="Arial"/>
          <w:color w:val="auto"/>
          <w:sz w:val="20"/>
          <w:szCs w:val="20"/>
          <w:lang w:val="hr-HR"/>
        </w:rPr>
      </w:pPr>
      <w:r w:rsidRPr="00452536">
        <w:rPr>
          <w:rFonts w:ascii="Verdana" w:hAnsi="Verdana" w:cs="Arial"/>
          <w:color w:val="auto"/>
          <w:sz w:val="20"/>
          <w:szCs w:val="20"/>
          <w:lang w:val="hr-HR"/>
        </w:rPr>
        <w:t>Izvještavanje o imovini, prihodima, obavezama i interesima</w:t>
      </w:r>
    </w:p>
    <w:p w14:paraId="5DC388CA" w14:textId="77777777" w:rsidR="00AB4307" w:rsidRPr="00452536" w:rsidRDefault="00AB4307" w:rsidP="00D84178">
      <w:pPr>
        <w:pStyle w:val="ListParagraph"/>
        <w:numPr>
          <w:ilvl w:val="0"/>
          <w:numId w:val="3"/>
        </w:numPr>
        <w:spacing w:line="276" w:lineRule="auto"/>
        <w:ind w:left="851" w:hanging="425"/>
        <w:rPr>
          <w:rFonts w:ascii="Verdana" w:hAnsi="Verdana" w:cs="Arial"/>
          <w:color w:val="auto"/>
          <w:sz w:val="20"/>
          <w:szCs w:val="20"/>
          <w:lang w:val="hr-HR"/>
        </w:rPr>
      </w:pPr>
      <w:r w:rsidRPr="00452536">
        <w:rPr>
          <w:rFonts w:ascii="Verdana" w:hAnsi="Verdana" w:cs="Arial"/>
          <w:color w:val="auto"/>
          <w:sz w:val="20"/>
          <w:szCs w:val="20"/>
          <w:lang w:val="hr-HR"/>
        </w:rPr>
        <w:t>Primanje poklona i drugih koristi</w:t>
      </w:r>
    </w:p>
    <w:p w14:paraId="316393E3" w14:textId="77777777" w:rsidR="00AB4307" w:rsidRPr="00452536" w:rsidRDefault="00AB4307" w:rsidP="00D84178">
      <w:pPr>
        <w:pStyle w:val="ListParagraph"/>
        <w:numPr>
          <w:ilvl w:val="0"/>
          <w:numId w:val="3"/>
        </w:numPr>
        <w:spacing w:line="276" w:lineRule="auto"/>
        <w:ind w:left="851" w:hanging="425"/>
        <w:rPr>
          <w:rFonts w:ascii="Verdana" w:hAnsi="Verdana" w:cs="Arial"/>
          <w:color w:val="auto"/>
          <w:sz w:val="20"/>
          <w:szCs w:val="20"/>
          <w:lang w:val="hr-HR"/>
        </w:rPr>
      </w:pPr>
      <w:r w:rsidRPr="00452536">
        <w:rPr>
          <w:rFonts w:ascii="Verdana" w:hAnsi="Verdana" w:cs="Arial"/>
          <w:color w:val="auto"/>
          <w:sz w:val="20"/>
          <w:szCs w:val="20"/>
          <w:lang w:val="hr-HR"/>
        </w:rPr>
        <w:t>Kontakti sa trećim licima i zloupotreba povjerljivih informacija</w:t>
      </w:r>
    </w:p>
    <w:p w14:paraId="542D3186" w14:textId="77777777" w:rsidR="00AB4307" w:rsidRPr="00452536" w:rsidRDefault="00AB4307" w:rsidP="00D84178">
      <w:pPr>
        <w:pStyle w:val="ListParagraph"/>
        <w:numPr>
          <w:ilvl w:val="0"/>
          <w:numId w:val="3"/>
        </w:numPr>
        <w:spacing w:line="276" w:lineRule="auto"/>
        <w:ind w:left="851" w:hanging="425"/>
        <w:rPr>
          <w:rFonts w:ascii="Verdana" w:hAnsi="Verdana" w:cs="Arial"/>
          <w:color w:val="auto"/>
          <w:sz w:val="20"/>
          <w:szCs w:val="20"/>
          <w:lang w:val="hr-HR"/>
        </w:rPr>
      </w:pPr>
      <w:r w:rsidRPr="00452536">
        <w:rPr>
          <w:rFonts w:ascii="Verdana" w:hAnsi="Verdana" w:cs="Arial"/>
          <w:color w:val="auto"/>
          <w:sz w:val="20"/>
          <w:szCs w:val="20"/>
          <w:lang w:val="hr-HR"/>
        </w:rPr>
        <w:t>Nepotizam</w:t>
      </w:r>
    </w:p>
    <w:p w14:paraId="64D1B526" w14:textId="77777777" w:rsidR="00AB4307" w:rsidRPr="00452536" w:rsidRDefault="00AB4307" w:rsidP="00D84178">
      <w:pPr>
        <w:pStyle w:val="ListParagraph"/>
        <w:numPr>
          <w:ilvl w:val="0"/>
          <w:numId w:val="3"/>
        </w:numPr>
        <w:spacing w:line="276" w:lineRule="auto"/>
        <w:ind w:left="851" w:hanging="425"/>
        <w:rPr>
          <w:rFonts w:ascii="Verdana" w:hAnsi="Verdana" w:cs="Arial"/>
          <w:color w:val="auto"/>
          <w:sz w:val="20"/>
          <w:szCs w:val="20"/>
          <w:lang w:val="hr-HR"/>
        </w:rPr>
      </w:pPr>
      <w:r w:rsidRPr="00452536">
        <w:rPr>
          <w:rFonts w:ascii="Verdana" w:hAnsi="Verdana" w:cs="Arial"/>
          <w:color w:val="auto"/>
          <w:sz w:val="20"/>
          <w:szCs w:val="20"/>
          <w:lang w:val="hr-HR"/>
        </w:rPr>
        <w:t>Razvoj svijesti i edukacija o sukobu interesa u pravosuđ</w:t>
      </w:r>
      <w:r w:rsidR="003707D7" w:rsidRPr="00452536">
        <w:rPr>
          <w:rFonts w:ascii="Verdana" w:hAnsi="Verdana" w:cs="Arial"/>
          <w:color w:val="auto"/>
          <w:sz w:val="20"/>
          <w:szCs w:val="20"/>
          <w:lang w:val="hr-HR"/>
        </w:rPr>
        <w:t>u</w:t>
      </w:r>
      <w:r w:rsidR="00F16C28" w:rsidRPr="00452536">
        <w:rPr>
          <w:rFonts w:ascii="Verdana" w:hAnsi="Verdana" w:cs="Arial"/>
          <w:color w:val="auto"/>
          <w:sz w:val="20"/>
          <w:szCs w:val="20"/>
          <w:lang w:val="hr-HR"/>
        </w:rPr>
        <w:t>.</w:t>
      </w:r>
    </w:p>
    <w:p w14:paraId="5C1F59FB" w14:textId="77777777" w:rsidR="00F9315C" w:rsidRPr="00F9315C" w:rsidRDefault="00F9315C" w:rsidP="00D84178">
      <w:pPr>
        <w:spacing w:line="276" w:lineRule="auto"/>
        <w:jc w:val="both"/>
        <w:rPr>
          <w:rFonts w:ascii="Verdana" w:hAnsi="Verdana" w:cs="Arial"/>
          <w:sz w:val="20"/>
          <w:szCs w:val="20"/>
          <w:lang w:val="hr-HR" w:eastAsia="en-GB"/>
        </w:rPr>
      </w:pPr>
      <w:r w:rsidRPr="00F9315C">
        <w:rPr>
          <w:rFonts w:ascii="Verdana" w:hAnsi="Verdana" w:cs="Arial"/>
          <w:sz w:val="20"/>
          <w:szCs w:val="20"/>
          <w:lang w:val="hr-HR" w:eastAsia="en-GB"/>
        </w:rPr>
        <w:t>Namjena Instrumenata jeste da omoguće sistematsko praćenje implementacije Smjernica unutar pravosudnih institucija te da pruže uvid u stepen njihove primjene i ostvarene rezultate. Ovi Instrumenti služe kao alat za mjerenje napretka u primjeni preporučenih mjera, pri čemu se posebno uzima u obzir postojeći institucionalni okvir, tehnička rješenja za unos, obradu i analizu podataka, kao i sistem izvještavanja prema VSTV</w:t>
      </w:r>
      <w:r w:rsidR="0021477E">
        <w:rPr>
          <w:rFonts w:ascii="Verdana" w:hAnsi="Verdana" w:cs="Arial"/>
          <w:sz w:val="20"/>
          <w:szCs w:val="20"/>
          <w:lang w:val="hr-HR" w:eastAsia="en-GB"/>
        </w:rPr>
        <w:t>-u</w:t>
      </w:r>
      <w:r w:rsidRPr="00F9315C">
        <w:rPr>
          <w:rFonts w:ascii="Verdana" w:hAnsi="Verdana" w:cs="Arial"/>
          <w:sz w:val="20"/>
          <w:szCs w:val="20"/>
          <w:lang w:val="hr-HR" w:eastAsia="en-GB"/>
        </w:rPr>
        <w:t xml:space="preserve"> BiH.</w:t>
      </w:r>
    </w:p>
    <w:p w14:paraId="39CBD098" w14:textId="77777777" w:rsidR="00F9315C" w:rsidRPr="00F9315C" w:rsidRDefault="00F9315C" w:rsidP="00D84178">
      <w:pPr>
        <w:spacing w:line="276" w:lineRule="auto"/>
        <w:jc w:val="both"/>
        <w:rPr>
          <w:rFonts w:ascii="Verdana" w:hAnsi="Verdana" w:cs="Arial"/>
          <w:sz w:val="20"/>
          <w:szCs w:val="20"/>
          <w:lang w:val="hr-HR" w:eastAsia="en-GB"/>
        </w:rPr>
      </w:pPr>
      <w:r w:rsidRPr="00F9315C">
        <w:rPr>
          <w:rFonts w:ascii="Verdana" w:hAnsi="Verdana" w:cs="Arial"/>
          <w:sz w:val="20"/>
          <w:szCs w:val="20"/>
          <w:lang w:val="hr-HR" w:eastAsia="en-GB"/>
        </w:rPr>
        <w:t>Analiza podataka prikupljenih putem Instrumenata ima za</w:t>
      </w:r>
      <w:r>
        <w:rPr>
          <w:rFonts w:ascii="Verdana" w:hAnsi="Verdana" w:cs="Arial"/>
          <w:sz w:val="20"/>
          <w:szCs w:val="20"/>
          <w:lang w:val="hr-HR" w:eastAsia="en-GB"/>
        </w:rPr>
        <w:t xml:space="preserve"> cilj da ojača njihovu upotrebu</w:t>
      </w:r>
      <w:r w:rsidRPr="00F9315C">
        <w:rPr>
          <w:rFonts w:ascii="Verdana" w:hAnsi="Verdana" w:cs="Arial"/>
          <w:sz w:val="20"/>
          <w:szCs w:val="20"/>
          <w:lang w:val="hr-HR" w:eastAsia="en-GB"/>
        </w:rPr>
        <w:t xml:space="preserve"> u praksi, pružajući pravosudnim institucijama smjernice i podršku u primjeni, dok istovremeno omogućava</w:t>
      </w:r>
      <w:r w:rsidR="003B00F2">
        <w:rPr>
          <w:rFonts w:ascii="Verdana" w:hAnsi="Verdana" w:cs="Arial"/>
          <w:sz w:val="20"/>
          <w:szCs w:val="20"/>
          <w:lang w:val="hr-HR" w:eastAsia="en-GB"/>
        </w:rPr>
        <w:t xml:space="preserve"> VSTV-u BiH da vrši nadzor nad </w:t>
      </w:r>
      <w:r w:rsidRPr="00F9315C">
        <w:rPr>
          <w:rFonts w:ascii="Verdana" w:hAnsi="Verdana" w:cs="Arial"/>
          <w:sz w:val="20"/>
          <w:szCs w:val="20"/>
          <w:lang w:val="hr-HR" w:eastAsia="en-GB"/>
        </w:rPr>
        <w:t>provođenjem Smjernica i da, na osnovu pouzdanih informacija, pla</w:t>
      </w:r>
      <w:r>
        <w:rPr>
          <w:rFonts w:ascii="Verdana" w:hAnsi="Verdana" w:cs="Arial"/>
          <w:sz w:val="20"/>
          <w:szCs w:val="20"/>
          <w:lang w:val="hr-HR" w:eastAsia="en-GB"/>
        </w:rPr>
        <w:t>nira buduće mjere i preporuke</w:t>
      </w:r>
      <w:r w:rsidRPr="00F9315C">
        <w:rPr>
          <w:rFonts w:ascii="Verdana" w:hAnsi="Verdana" w:cs="Arial"/>
          <w:sz w:val="20"/>
          <w:szCs w:val="20"/>
          <w:lang w:val="hr-HR" w:eastAsia="en-GB"/>
        </w:rPr>
        <w:t>.</w:t>
      </w:r>
    </w:p>
    <w:p w14:paraId="5B0E2BF6" w14:textId="77777777" w:rsidR="00535F8B" w:rsidRDefault="00F9315C" w:rsidP="00D84178">
      <w:pPr>
        <w:spacing w:line="276" w:lineRule="auto"/>
        <w:jc w:val="both"/>
        <w:rPr>
          <w:rFonts w:ascii="Verdana" w:hAnsi="Verdana" w:cs="Arial"/>
          <w:sz w:val="20"/>
          <w:szCs w:val="20"/>
          <w:lang w:val="hr-HR" w:eastAsia="en-GB"/>
        </w:rPr>
      </w:pPr>
      <w:r w:rsidRPr="00F9315C">
        <w:rPr>
          <w:rFonts w:ascii="Verdana" w:hAnsi="Verdana" w:cs="Arial"/>
          <w:sz w:val="20"/>
          <w:szCs w:val="20"/>
          <w:lang w:val="hr-HR" w:eastAsia="en-GB"/>
        </w:rPr>
        <w:t xml:space="preserve">Na sjednici održanoj 29. decembra 2020. godine, VSTV BiH je </w:t>
      </w:r>
      <w:r w:rsidR="006D3ED7">
        <w:rPr>
          <w:rFonts w:ascii="Verdana" w:hAnsi="Verdana" w:cs="Arial"/>
          <w:sz w:val="20"/>
          <w:szCs w:val="20"/>
          <w:lang w:val="hr-HR" w:eastAsia="en-GB"/>
        </w:rPr>
        <w:t>usvojilo</w:t>
      </w:r>
      <w:r w:rsidRPr="00F9315C">
        <w:rPr>
          <w:rFonts w:ascii="Verdana" w:hAnsi="Verdana" w:cs="Arial"/>
          <w:sz w:val="20"/>
          <w:szCs w:val="20"/>
          <w:lang w:val="hr-HR" w:eastAsia="en-GB"/>
        </w:rPr>
        <w:t xml:space="preserve"> zaključak kojim se nalaže distribucija dokumenta pod nazivom “Institucionalni mehanizmi i evidencije za provedbu Instrumenata za praćenje primjene Smjernica za sprečavanje sukoba interesa u pravosuđu” svim relevantnim pravosudnim tijelima. </w:t>
      </w:r>
    </w:p>
    <w:p w14:paraId="49B966EA" w14:textId="77777777" w:rsidR="00535F8B" w:rsidRDefault="00F9315C" w:rsidP="00D84178">
      <w:pPr>
        <w:spacing w:line="276" w:lineRule="auto"/>
        <w:jc w:val="both"/>
        <w:rPr>
          <w:rFonts w:ascii="Verdana" w:hAnsi="Verdana" w:cs="Arial"/>
          <w:sz w:val="20"/>
          <w:szCs w:val="20"/>
          <w:lang w:val="hr-HR" w:eastAsia="en-GB"/>
        </w:rPr>
      </w:pPr>
      <w:r w:rsidRPr="001A7CD0">
        <w:rPr>
          <w:rFonts w:ascii="Verdana" w:hAnsi="Verdana" w:cs="Arial"/>
          <w:sz w:val="20"/>
          <w:szCs w:val="20"/>
          <w:lang w:val="hr-HR" w:eastAsia="en-GB"/>
        </w:rPr>
        <w:t>Ovaj dokument, prethodno usvojen na sjednici Vijeća održanoj 4. i 5. septembra 2019. godine, predstavlja ključni element za implementaciju Instrumenata, te se od pravosudnih institucija — uključujući sudove, tužilaštva, centre za edukaciju sudija i tužilaca</w:t>
      </w:r>
      <w:r w:rsidR="00535F8B" w:rsidRPr="001A7CD0">
        <w:rPr>
          <w:rFonts w:ascii="Verdana" w:hAnsi="Verdana" w:cs="Arial"/>
          <w:sz w:val="20"/>
          <w:szCs w:val="20"/>
          <w:lang w:val="hr-HR" w:eastAsia="en-GB"/>
        </w:rPr>
        <w:t xml:space="preserve"> u F BiH i RS (CEST-ovi)</w:t>
      </w:r>
      <w:r w:rsidRPr="001A7CD0">
        <w:rPr>
          <w:rFonts w:ascii="Verdana" w:hAnsi="Verdana" w:cs="Arial"/>
          <w:sz w:val="20"/>
          <w:szCs w:val="20"/>
          <w:lang w:val="hr-HR" w:eastAsia="en-GB"/>
        </w:rPr>
        <w:t>, Ured disciplinskog tužioca i odgovarajuće odjele VSTV-a BiH — zahtijeva da uspostave i redovno vode evidencije i registre počevši od 2021. godine.</w:t>
      </w:r>
      <w:r w:rsidR="00535F8B">
        <w:rPr>
          <w:rFonts w:ascii="Verdana" w:hAnsi="Verdana" w:cs="Arial"/>
          <w:sz w:val="20"/>
          <w:szCs w:val="20"/>
          <w:lang w:val="hr-HR" w:eastAsia="en-GB"/>
        </w:rPr>
        <w:t xml:space="preserve"> </w:t>
      </w:r>
    </w:p>
    <w:p w14:paraId="68AE0415" w14:textId="77777777" w:rsidR="00F050C6" w:rsidRPr="00921582" w:rsidRDefault="006D3ED7" w:rsidP="00D84178">
      <w:pPr>
        <w:spacing w:line="276" w:lineRule="auto"/>
        <w:jc w:val="both"/>
        <w:rPr>
          <w:rFonts w:ascii="Verdana" w:hAnsi="Verdana"/>
          <w:sz w:val="20"/>
          <w:szCs w:val="20"/>
          <w:lang w:eastAsia="en-GB"/>
        </w:rPr>
        <w:sectPr w:rsidR="00F050C6" w:rsidRPr="00921582" w:rsidSect="00EE7C5A">
          <w:pgSz w:w="11906" w:h="16838"/>
          <w:pgMar w:top="1417" w:right="1417" w:bottom="1417" w:left="1417" w:header="708" w:footer="708" w:gutter="0"/>
          <w:cols w:space="708"/>
          <w:docGrid w:linePitch="360"/>
        </w:sectPr>
      </w:pPr>
      <w:r>
        <w:rPr>
          <w:rFonts w:ascii="Verdana" w:hAnsi="Verdana"/>
          <w:sz w:val="20"/>
          <w:szCs w:val="20"/>
          <w:lang w:val="hr-HR" w:eastAsia="en-GB"/>
        </w:rPr>
        <w:t>VSTV BiH</w:t>
      </w:r>
      <w:r w:rsidR="00F9315C" w:rsidRPr="00921582">
        <w:rPr>
          <w:rFonts w:ascii="Verdana" w:hAnsi="Verdana"/>
          <w:sz w:val="20"/>
          <w:szCs w:val="20"/>
          <w:lang w:val="hr-HR" w:eastAsia="en-GB"/>
        </w:rPr>
        <w:t xml:space="preserve"> je obavezalo rukovodioce pravosudnih institucija da imen</w:t>
      </w:r>
      <w:r>
        <w:rPr>
          <w:rFonts w:ascii="Verdana" w:hAnsi="Verdana"/>
          <w:sz w:val="20"/>
          <w:szCs w:val="20"/>
          <w:lang w:val="hr-HR" w:eastAsia="en-GB"/>
        </w:rPr>
        <w:t xml:space="preserve">uju odgovorna lica za praćenje </w:t>
      </w:r>
      <w:r w:rsidR="00F9315C" w:rsidRPr="00921582">
        <w:rPr>
          <w:rFonts w:ascii="Verdana" w:hAnsi="Verdana"/>
          <w:sz w:val="20"/>
          <w:szCs w:val="20"/>
          <w:lang w:val="hr-HR" w:eastAsia="en-GB"/>
        </w:rPr>
        <w:t>provođenja Instrumenata. Preporučeno je da se za ovu ulogu imenuju sekretari pravosudnih institucija,</w:t>
      </w:r>
      <w:r w:rsidR="00921582">
        <w:rPr>
          <w:rFonts w:ascii="Verdana" w:hAnsi="Verdana"/>
          <w:sz w:val="20"/>
          <w:szCs w:val="20"/>
          <w:lang w:val="hr-HR" w:eastAsia="en-GB"/>
        </w:rPr>
        <w:t xml:space="preserve"> ukoliko je to m</w:t>
      </w:r>
      <w:r w:rsidR="00F9315C" w:rsidRPr="00921582">
        <w:rPr>
          <w:rFonts w:ascii="Verdana" w:hAnsi="Verdana"/>
          <w:sz w:val="20"/>
          <w:szCs w:val="20"/>
          <w:lang w:val="hr-HR" w:eastAsia="en-GB"/>
        </w:rPr>
        <w:t>oguće,</w:t>
      </w:r>
      <w:r w:rsidR="00921582">
        <w:rPr>
          <w:rFonts w:ascii="Verdana" w:hAnsi="Verdana"/>
          <w:sz w:val="20"/>
          <w:szCs w:val="20"/>
          <w:lang w:val="hr-HR" w:eastAsia="en-GB"/>
        </w:rPr>
        <w:t xml:space="preserve"> s ciljem da se obezbi</w:t>
      </w:r>
      <w:r w:rsidR="00F9315C" w:rsidRPr="00921582">
        <w:rPr>
          <w:rFonts w:ascii="Verdana" w:hAnsi="Verdana"/>
          <w:sz w:val="20"/>
          <w:szCs w:val="20"/>
          <w:lang w:val="hr-HR" w:eastAsia="en-GB"/>
        </w:rPr>
        <w:t>jedi kontinuitet, odgovornost i dosljedna primjena Instrumenata na nivou institucije.</w:t>
      </w:r>
    </w:p>
    <w:p w14:paraId="76DF9B1A" w14:textId="77777777" w:rsidR="006E6732" w:rsidRPr="00921582" w:rsidRDefault="006E6732" w:rsidP="00D84178">
      <w:pPr>
        <w:pStyle w:val="Heading1"/>
        <w:spacing w:line="276" w:lineRule="auto"/>
        <w:rPr>
          <w:lang w:eastAsia="en-GB"/>
        </w:rPr>
      </w:pPr>
      <w:bookmarkStart w:id="2" w:name="_Toc229748328"/>
      <w:r w:rsidRPr="00921582">
        <w:rPr>
          <w:lang w:eastAsia="en-GB"/>
        </w:rPr>
        <w:lastRenderedPageBreak/>
        <w:t xml:space="preserve">II </w:t>
      </w:r>
      <w:r w:rsidRPr="00921582">
        <w:rPr>
          <w:lang w:val="hr-HR" w:eastAsia="en-GB"/>
        </w:rPr>
        <w:t>A</w:t>
      </w:r>
      <w:r w:rsidRPr="00921582">
        <w:rPr>
          <w:lang w:eastAsia="en-GB"/>
        </w:rPr>
        <w:t xml:space="preserve">naliza dostavljenih </w:t>
      </w:r>
      <w:r w:rsidRPr="003F7EDC">
        <w:t>podataka</w:t>
      </w:r>
      <w:r w:rsidRPr="00921582">
        <w:rPr>
          <w:lang w:eastAsia="en-GB"/>
        </w:rPr>
        <w:t xml:space="preserve"> za 202</w:t>
      </w:r>
      <w:r w:rsidR="00CE3504">
        <w:rPr>
          <w:lang w:val="bs-Latn-BA" w:eastAsia="en-GB"/>
        </w:rPr>
        <w:t>5</w:t>
      </w:r>
      <w:r w:rsidRPr="00921582">
        <w:rPr>
          <w:lang w:eastAsia="en-GB"/>
        </w:rPr>
        <w:t>.</w:t>
      </w:r>
      <w:r w:rsidR="006D3ED7">
        <w:rPr>
          <w:lang w:val="bs-Latn-BA" w:eastAsia="en-GB"/>
        </w:rPr>
        <w:t xml:space="preserve"> </w:t>
      </w:r>
      <w:r w:rsidRPr="00921582">
        <w:rPr>
          <w:lang w:eastAsia="en-GB"/>
        </w:rPr>
        <w:t>godinu</w:t>
      </w:r>
      <w:bookmarkEnd w:id="2"/>
    </w:p>
    <w:p w14:paraId="7B4E2FD9" w14:textId="77777777" w:rsidR="006E6732" w:rsidRPr="00921582" w:rsidRDefault="006E6732" w:rsidP="00D84178">
      <w:pPr>
        <w:spacing w:line="276" w:lineRule="auto"/>
        <w:rPr>
          <w:rFonts w:ascii="Verdana" w:hAnsi="Verdana" w:cs="Arial"/>
          <w:sz w:val="20"/>
          <w:szCs w:val="20"/>
          <w:lang w:val="hr-HR" w:eastAsia="en-GB"/>
        </w:rPr>
      </w:pPr>
    </w:p>
    <w:p w14:paraId="018E9E55" w14:textId="77777777" w:rsidR="00E02314" w:rsidRPr="00E02314" w:rsidRDefault="00E02314" w:rsidP="00D84178">
      <w:pPr>
        <w:spacing w:line="276" w:lineRule="auto"/>
        <w:jc w:val="both"/>
        <w:rPr>
          <w:rFonts w:ascii="Verdana" w:hAnsi="Verdana" w:cs="Arial"/>
          <w:sz w:val="20"/>
          <w:szCs w:val="20"/>
          <w:lang w:val="hr-HR"/>
        </w:rPr>
      </w:pPr>
      <w:r w:rsidRPr="00E02314">
        <w:rPr>
          <w:rFonts w:ascii="Verdana" w:hAnsi="Verdana" w:cs="Arial"/>
          <w:sz w:val="20"/>
          <w:szCs w:val="20"/>
          <w:lang w:val="hr-HR"/>
        </w:rPr>
        <w:t>Analiza provedbe Instrumenata za 202</w:t>
      </w:r>
      <w:r w:rsidR="00CE3504">
        <w:rPr>
          <w:rFonts w:ascii="Verdana" w:hAnsi="Verdana" w:cs="Arial"/>
          <w:sz w:val="20"/>
          <w:szCs w:val="20"/>
          <w:lang w:val="hr-HR"/>
        </w:rPr>
        <w:t>5</w:t>
      </w:r>
      <w:r w:rsidRPr="00E02314">
        <w:rPr>
          <w:rFonts w:ascii="Verdana" w:hAnsi="Verdana" w:cs="Arial"/>
          <w:sz w:val="20"/>
          <w:szCs w:val="20"/>
          <w:lang w:val="hr-HR"/>
        </w:rPr>
        <w:t xml:space="preserve">. godinu izrađena je </w:t>
      </w:r>
      <w:r w:rsidR="00CE3504">
        <w:rPr>
          <w:rFonts w:ascii="Verdana" w:hAnsi="Verdana" w:cs="Arial"/>
          <w:sz w:val="20"/>
          <w:szCs w:val="20"/>
          <w:lang w:val="hr-HR"/>
        </w:rPr>
        <w:t>u mjesecu martu</w:t>
      </w:r>
      <w:r w:rsidRPr="00E02314">
        <w:rPr>
          <w:rFonts w:ascii="Verdana" w:hAnsi="Verdana" w:cs="Arial"/>
          <w:sz w:val="20"/>
          <w:szCs w:val="20"/>
          <w:lang w:val="hr-HR"/>
        </w:rPr>
        <w:t xml:space="preserve"> 202</w:t>
      </w:r>
      <w:r w:rsidR="00CE3504">
        <w:rPr>
          <w:rFonts w:ascii="Verdana" w:hAnsi="Verdana" w:cs="Arial"/>
          <w:sz w:val="20"/>
          <w:szCs w:val="20"/>
          <w:lang w:val="hr-HR"/>
        </w:rPr>
        <w:t>6</w:t>
      </w:r>
      <w:r w:rsidRPr="00E02314">
        <w:rPr>
          <w:rFonts w:ascii="Verdana" w:hAnsi="Verdana" w:cs="Arial"/>
          <w:sz w:val="20"/>
          <w:szCs w:val="20"/>
          <w:lang w:val="hr-HR"/>
        </w:rPr>
        <w:t>. godine s ciljem informisanja Stalne komisije za etiku, integritet i odgovornost sudija i tužilaca</w:t>
      </w:r>
      <w:r w:rsidR="003B00F2" w:rsidRPr="003B00F2">
        <w:rPr>
          <w:rFonts w:ascii="Verdana" w:hAnsi="Verdana" w:cs="Arial"/>
          <w:sz w:val="20"/>
          <w:szCs w:val="20"/>
          <w:lang w:val="hr-HR"/>
        </w:rPr>
        <w:t xml:space="preserve"> </w:t>
      </w:r>
      <w:r w:rsidR="003B00F2" w:rsidRPr="00E02314">
        <w:rPr>
          <w:rFonts w:ascii="Verdana" w:hAnsi="Verdana" w:cs="Arial"/>
          <w:sz w:val="20"/>
          <w:szCs w:val="20"/>
          <w:lang w:val="hr-HR"/>
        </w:rPr>
        <w:t xml:space="preserve">u </w:t>
      </w:r>
      <w:r w:rsidR="003B00F2">
        <w:rPr>
          <w:rFonts w:ascii="Verdana" w:hAnsi="Verdana" w:cs="Arial"/>
          <w:sz w:val="20"/>
          <w:szCs w:val="20"/>
          <w:lang w:val="hr-HR"/>
        </w:rPr>
        <w:t>daljem tekstu: Stalna komisija), kao i VSTV-a BiH.</w:t>
      </w:r>
    </w:p>
    <w:p w14:paraId="575CD827" w14:textId="77777777" w:rsidR="00CE3504" w:rsidRDefault="00E02314" w:rsidP="00D84178">
      <w:pPr>
        <w:spacing w:line="276" w:lineRule="auto"/>
        <w:jc w:val="both"/>
        <w:rPr>
          <w:rFonts w:ascii="Verdana" w:hAnsi="Verdana" w:cs="Arial"/>
          <w:sz w:val="20"/>
          <w:szCs w:val="20"/>
          <w:lang w:val="hr-HR"/>
        </w:rPr>
      </w:pPr>
      <w:r w:rsidRPr="00E02314">
        <w:rPr>
          <w:rFonts w:ascii="Verdana" w:hAnsi="Verdana" w:cs="Arial"/>
          <w:sz w:val="20"/>
          <w:szCs w:val="20"/>
          <w:lang w:val="hr-HR"/>
        </w:rPr>
        <w:t>Odjel za disciplinske postupke i etiku nosilaca pravosudnih funkcija (</w:t>
      </w:r>
      <w:r w:rsidR="00535F8B">
        <w:rPr>
          <w:rFonts w:ascii="Verdana" w:hAnsi="Verdana" w:cs="Arial"/>
          <w:sz w:val="20"/>
          <w:szCs w:val="20"/>
          <w:lang w:val="hr-HR"/>
        </w:rPr>
        <w:t>u daljem tekstu: Odjel</w:t>
      </w:r>
      <w:r w:rsidRPr="00E02314">
        <w:rPr>
          <w:rFonts w:ascii="Verdana" w:hAnsi="Verdana" w:cs="Arial"/>
          <w:sz w:val="20"/>
          <w:szCs w:val="20"/>
          <w:lang w:val="hr-HR"/>
        </w:rPr>
        <w:t>)</w:t>
      </w:r>
      <w:r w:rsidR="003B00F2">
        <w:rPr>
          <w:rFonts w:ascii="Verdana" w:hAnsi="Verdana" w:cs="Arial"/>
          <w:sz w:val="20"/>
          <w:szCs w:val="20"/>
          <w:lang w:val="hr-HR"/>
        </w:rPr>
        <w:t>, dana</w:t>
      </w:r>
      <w:r w:rsidRPr="00E02314">
        <w:rPr>
          <w:rFonts w:ascii="Verdana" w:hAnsi="Verdana" w:cs="Arial"/>
          <w:sz w:val="20"/>
          <w:szCs w:val="20"/>
          <w:lang w:val="hr-HR"/>
        </w:rPr>
        <w:t xml:space="preserve"> </w:t>
      </w:r>
      <w:r w:rsidR="00CE3504">
        <w:rPr>
          <w:rFonts w:ascii="Verdana" w:hAnsi="Verdana" w:cs="Arial"/>
          <w:sz w:val="20"/>
          <w:szCs w:val="20"/>
          <w:lang w:val="hr-HR"/>
        </w:rPr>
        <w:t>05</w:t>
      </w:r>
      <w:r w:rsidRPr="00E02314">
        <w:rPr>
          <w:rFonts w:ascii="Verdana" w:hAnsi="Verdana" w:cs="Arial"/>
          <w:sz w:val="20"/>
          <w:szCs w:val="20"/>
          <w:lang w:val="hr-HR"/>
        </w:rPr>
        <w:t>. januara 202</w:t>
      </w:r>
      <w:r w:rsidR="00CE3504">
        <w:rPr>
          <w:rFonts w:ascii="Verdana" w:hAnsi="Verdana" w:cs="Arial"/>
          <w:sz w:val="20"/>
          <w:szCs w:val="20"/>
          <w:lang w:val="hr-HR"/>
        </w:rPr>
        <w:t>6</w:t>
      </w:r>
      <w:r w:rsidRPr="00E02314">
        <w:rPr>
          <w:rFonts w:ascii="Verdana" w:hAnsi="Verdana" w:cs="Arial"/>
          <w:sz w:val="20"/>
          <w:szCs w:val="20"/>
          <w:lang w:val="hr-HR"/>
        </w:rPr>
        <w:t xml:space="preserve">. godine dostavio </w:t>
      </w:r>
      <w:r w:rsidR="001A7CD0" w:rsidRPr="00E02314">
        <w:rPr>
          <w:rFonts w:ascii="Verdana" w:hAnsi="Verdana" w:cs="Arial"/>
          <w:sz w:val="20"/>
          <w:szCs w:val="20"/>
          <w:lang w:val="hr-HR"/>
        </w:rPr>
        <w:t xml:space="preserve">je </w:t>
      </w:r>
      <w:r w:rsidRPr="00E02314">
        <w:rPr>
          <w:rFonts w:ascii="Verdana" w:hAnsi="Verdana" w:cs="Arial"/>
          <w:sz w:val="20"/>
          <w:szCs w:val="20"/>
          <w:lang w:val="hr-HR"/>
        </w:rPr>
        <w:t xml:space="preserve">svim rukovodiocima pravosudnih institucija </w:t>
      </w:r>
      <w:r w:rsidR="00CE3504" w:rsidRPr="00E02314">
        <w:rPr>
          <w:rFonts w:ascii="Verdana" w:hAnsi="Verdana" w:cs="Arial"/>
          <w:sz w:val="20"/>
          <w:szCs w:val="20"/>
          <w:lang w:val="hr-HR"/>
        </w:rPr>
        <w:t>Instrument</w:t>
      </w:r>
      <w:r w:rsidR="001A7CD0">
        <w:rPr>
          <w:rFonts w:ascii="Verdana" w:hAnsi="Verdana" w:cs="Arial"/>
          <w:sz w:val="20"/>
          <w:szCs w:val="20"/>
          <w:lang w:val="hr-HR"/>
        </w:rPr>
        <w:t>e</w:t>
      </w:r>
      <w:r w:rsidR="00CE3504" w:rsidRPr="00E02314">
        <w:rPr>
          <w:rFonts w:ascii="Verdana" w:hAnsi="Verdana" w:cs="Arial"/>
          <w:sz w:val="20"/>
          <w:szCs w:val="20"/>
          <w:lang w:val="hr-HR"/>
        </w:rPr>
        <w:t xml:space="preserve"> u </w:t>
      </w:r>
      <w:r w:rsidR="00CE3504" w:rsidRPr="003B00F2">
        <w:rPr>
          <w:rFonts w:ascii="Verdana" w:hAnsi="Verdana" w:cs="Arial"/>
          <w:i/>
          <w:sz w:val="20"/>
          <w:szCs w:val="20"/>
          <w:lang w:val="hr-HR"/>
        </w:rPr>
        <w:t>MS Excel</w:t>
      </w:r>
      <w:r w:rsidR="00CE3504" w:rsidRPr="00E02314">
        <w:rPr>
          <w:rFonts w:ascii="Verdana" w:hAnsi="Verdana" w:cs="Arial"/>
          <w:sz w:val="20"/>
          <w:szCs w:val="20"/>
          <w:lang w:val="hr-HR"/>
        </w:rPr>
        <w:t xml:space="preserve"> formatu, neophodn</w:t>
      </w:r>
      <w:r w:rsidR="001A7CD0">
        <w:rPr>
          <w:rFonts w:ascii="Verdana" w:hAnsi="Verdana" w:cs="Arial"/>
          <w:sz w:val="20"/>
          <w:szCs w:val="20"/>
          <w:lang w:val="hr-HR"/>
        </w:rPr>
        <w:t>e</w:t>
      </w:r>
      <w:r w:rsidR="00CE3504" w:rsidRPr="00E02314">
        <w:rPr>
          <w:rFonts w:ascii="Verdana" w:hAnsi="Verdana" w:cs="Arial"/>
          <w:sz w:val="20"/>
          <w:szCs w:val="20"/>
          <w:lang w:val="hr-HR"/>
        </w:rPr>
        <w:t xml:space="preserve"> za uspostavu i vođenje relevantnih evidencija:</w:t>
      </w:r>
    </w:p>
    <w:p w14:paraId="1FDD2FA1" w14:textId="77777777" w:rsidR="00CE3504" w:rsidRPr="00921582" w:rsidRDefault="00CE3504" w:rsidP="00D84178">
      <w:pPr>
        <w:pStyle w:val="ListParagraph"/>
        <w:numPr>
          <w:ilvl w:val="0"/>
          <w:numId w:val="4"/>
        </w:numPr>
        <w:spacing w:line="276" w:lineRule="auto"/>
        <w:rPr>
          <w:rFonts w:ascii="Verdana" w:hAnsi="Verdana" w:cs="Arial"/>
          <w:color w:val="auto"/>
          <w:sz w:val="20"/>
          <w:szCs w:val="20"/>
          <w:lang w:val="hr-HR" w:eastAsia="en-GB"/>
        </w:rPr>
      </w:pPr>
      <w:bookmarkStart w:id="3" w:name="OLE_LINK1"/>
      <w:r w:rsidRPr="00921582">
        <w:rPr>
          <w:rFonts w:ascii="Verdana" w:hAnsi="Verdana" w:cs="Arial"/>
          <w:color w:val="auto"/>
          <w:sz w:val="20"/>
          <w:szCs w:val="20"/>
          <w:lang w:val="hr-HR" w:eastAsia="en-GB"/>
        </w:rPr>
        <w:t>Evidencija dodatnih aktivnosti NPF</w:t>
      </w:r>
    </w:p>
    <w:p w14:paraId="0379022B" w14:textId="77777777" w:rsidR="00CE3504" w:rsidRPr="00921582" w:rsidRDefault="00CE3504" w:rsidP="00D84178">
      <w:pPr>
        <w:pStyle w:val="ListParagraph"/>
        <w:numPr>
          <w:ilvl w:val="0"/>
          <w:numId w:val="4"/>
        </w:numPr>
        <w:spacing w:line="276" w:lineRule="auto"/>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o prijemu poklona NPF i uposlenika</w:t>
      </w:r>
    </w:p>
    <w:p w14:paraId="5454D475" w14:textId="77777777" w:rsidR="00CE3504" w:rsidRPr="00921582" w:rsidRDefault="00CE3504" w:rsidP="00D84178">
      <w:pPr>
        <w:pStyle w:val="ListParagraph"/>
        <w:numPr>
          <w:ilvl w:val="0"/>
          <w:numId w:val="4"/>
        </w:numPr>
        <w:spacing w:line="276" w:lineRule="auto"/>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o ostvarenoj ex parte komunikaciji NPF i uposlenika</w:t>
      </w:r>
    </w:p>
    <w:p w14:paraId="5567661E" w14:textId="77777777" w:rsidR="00CE3504" w:rsidRPr="00921582" w:rsidRDefault="00CE3504" w:rsidP="00D84178">
      <w:pPr>
        <w:pStyle w:val="ListParagraph"/>
        <w:numPr>
          <w:ilvl w:val="0"/>
          <w:numId w:val="4"/>
        </w:numPr>
        <w:spacing w:line="276" w:lineRule="auto"/>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o istupima u javnosti NPF</w:t>
      </w:r>
    </w:p>
    <w:p w14:paraId="7AC57006" w14:textId="77777777" w:rsidR="00CE3504" w:rsidRPr="00921582" w:rsidRDefault="00CE3504" w:rsidP="00D84178">
      <w:pPr>
        <w:pStyle w:val="ListParagraph"/>
        <w:numPr>
          <w:ilvl w:val="0"/>
          <w:numId w:val="4"/>
        </w:numPr>
        <w:spacing w:line="276" w:lineRule="auto"/>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o prijavama i izrečenim disciplinskim mjerama protiv osoblja koje radi pod nadzorom NPF</w:t>
      </w:r>
    </w:p>
    <w:p w14:paraId="0367A24D" w14:textId="77777777" w:rsidR="00CE3504" w:rsidRPr="00921582" w:rsidRDefault="00CE3504" w:rsidP="00D84178">
      <w:pPr>
        <w:pStyle w:val="ListParagraph"/>
        <w:numPr>
          <w:ilvl w:val="0"/>
          <w:numId w:val="4"/>
        </w:numPr>
        <w:spacing w:line="276" w:lineRule="auto"/>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o izuzećima NPF</w:t>
      </w:r>
    </w:p>
    <w:p w14:paraId="39CA0ADC" w14:textId="77777777" w:rsidR="00CE3504" w:rsidRPr="00921582" w:rsidRDefault="00CE3504" w:rsidP="00D84178">
      <w:pPr>
        <w:pStyle w:val="ListParagraph"/>
        <w:numPr>
          <w:ilvl w:val="0"/>
          <w:numId w:val="4"/>
        </w:numPr>
        <w:spacing w:line="276" w:lineRule="auto"/>
        <w:rPr>
          <w:rFonts w:ascii="Verdana" w:hAnsi="Verdana" w:cs="Arial"/>
          <w:color w:val="auto"/>
          <w:sz w:val="20"/>
          <w:szCs w:val="20"/>
          <w:lang w:val="hr-HR" w:eastAsia="en-GB"/>
        </w:rPr>
      </w:pPr>
      <w:r w:rsidRPr="00921582">
        <w:rPr>
          <w:rFonts w:ascii="Verdana" w:hAnsi="Verdana" w:cs="Arial"/>
          <w:color w:val="auto"/>
          <w:sz w:val="20"/>
          <w:szCs w:val="20"/>
          <w:lang w:val="hr-HR" w:eastAsia="en-GB"/>
        </w:rPr>
        <w:t xml:space="preserve">Evidencija o obukama iz oblasti sukoba interesa i pravosudne etike </w:t>
      </w:r>
    </w:p>
    <w:p w14:paraId="170F7E2E" w14:textId="77777777" w:rsidR="00CE3504" w:rsidRPr="00921582" w:rsidRDefault="00CE3504" w:rsidP="00D84178">
      <w:pPr>
        <w:pStyle w:val="ListParagraph"/>
        <w:numPr>
          <w:ilvl w:val="0"/>
          <w:numId w:val="4"/>
        </w:numPr>
        <w:spacing w:line="276" w:lineRule="auto"/>
        <w:rPr>
          <w:rFonts w:ascii="Verdana" w:hAnsi="Verdana" w:cs="Arial"/>
          <w:color w:val="auto"/>
          <w:sz w:val="20"/>
          <w:szCs w:val="20"/>
          <w:lang w:val="hr-HR" w:eastAsia="en-GB"/>
        </w:rPr>
      </w:pPr>
      <w:r w:rsidRPr="00921582">
        <w:rPr>
          <w:rFonts w:ascii="Verdana" w:hAnsi="Verdana" w:cs="Arial"/>
          <w:color w:val="auto"/>
          <w:sz w:val="20"/>
          <w:szCs w:val="20"/>
          <w:lang w:val="hr-HR" w:eastAsia="en-GB"/>
        </w:rPr>
        <w:t>Evidencija prijava Uredu disciplinskog tužioca i evidencija izrečenih mjera disciplinskih komisija.</w:t>
      </w:r>
    </w:p>
    <w:bookmarkEnd w:id="3"/>
    <w:p w14:paraId="48685F89" w14:textId="77777777" w:rsidR="009849C6" w:rsidRPr="00CE3504" w:rsidRDefault="009849C6" w:rsidP="00D84178">
      <w:pPr>
        <w:spacing w:line="276" w:lineRule="auto"/>
        <w:jc w:val="both"/>
        <w:rPr>
          <w:rFonts w:ascii="Verdana" w:hAnsi="Verdana" w:cs="Arial"/>
          <w:sz w:val="20"/>
          <w:szCs w:val="20"/>
          <w:lang w:val="hr-HR"/>
        </w:rPr>
      </w:pPr>
      <w:r>
        <w:rPr>
          <w:rFonts w:ascii="Verdana" w:hAnsi="Verdana" w:cs="Arial"/>
          <w:sz w:val="20"/>
          <w:szCs w:val="20"/>
          <w:lang w:val="hr-HR"/>
        </w:rPr>
        <w:t>Takođe, p</w:t>
      </w:r>
      <w:r w:rsidRPr="009849C6">
        <w:rPr>
          <w:rFonts w:ascii="Verdana" w:hAnsi="Verdana" w:cs="Arial"/>
          <w:sz w:val="20"/>
          <w:szCs w:val="20"/>
          <w:lang w:val="hr-HR"/>
        </w:rPr>
        <w:t>odsjetio je na zaključke Vijeća od 29. decembra 2020. te od 22. i 23. marta 2023. godine, naglašavajući da se Instrumenti za praćenje primjene Smjernica za sprečavanje sukoba interesa u pravosuđu koriste kontinuirano. Njihova primjena ima za cilj unapređenje kvaliteta evidencija kroz blagovremeno unošenje potpunih podataka, što podrazumijeva evidentiranje u stvarnom vremenu, odmah po nastanku informacije. Odgovornost za dosljedno evidentiranje snose nosioci pravosudnih funkcija.</w:t>
      </w:r>
    </w:p>
    <w:p w14:paraId="6725E6C8" w14:textId="77777777" w:rsidR="00F06898" w:rsidRPr="00F06898" w:rsidRDefault="00F06898" w:rsidP="00D84178">
      <w:pPr>
        <w:spacing w:before="100" w:beforeAutospacing="1" w:after="100" w:afterAutospacing="1" w:line="276" w:lineRule="auto"/>
        <w:jc w:val="both"/>
        <w:rPr>
          <w:rFonts w:ascii="Verdana" w:hAnsi="Verdana" w:cs="Arial"/>
          <w:sz w:val="20"/>
          <w:szCs w:val="20"/>
          <w:lang w:val="hr-HR" w:eastAsia="en-GB"/>
        </w:rPr>
      </w:pPr>
      <w:r w:rsidRPr="00F06898">
        <w:rPr>
          <w:rFonts w:ascii="Verdana" w:hAnsi="Verdana" w:cs="Arial"/>
          <w:sz w:val="20"/>
          <w:szCs w:val="20"/>
          <w:lang w:val="hr-HR" w:eastAsia="en-GB"/>
        </w:rPr>
        <w:t>Cilj dostave bio je da pravosudne institucije, centri za edukaciju sudija i tužilaca</w:t>
      </w:r>
      <w:r w:rsidR="0021477E">
        <w:rPr>
          <w:rFonts w:ascii="Verdana" w:hAnsi="Verdana" w:cs="Arial"/>
          <w:sz w:val="20"/>
          <w:szCs w:val="20"/>
          <w:lang w:val="hr-HR" w:eastAsia="en-GB"/>
        </w:rPr>
        <w:t xml:space="preserve"> u F BiH i RS</w:t>
      </w:r>
      <w:r w:rsidR="00535F8B">
        <w:rPr>
          <w:rFonts w:ascii="Verdana" w:hAnsi="Verdana" w:cs="Arial"/>
          <w:sz w:val="20"/>
          <w:szCs w:val="20"/>
          <w:lang w:val="hr-HR" w:eastAsia="en-GB"/>
        </w:rPr>
        <w:t>,</w:t>
      </w:r>
      <w:r w:rsidRPr="00F06898">
        <w:rPr>
          <w:rFonts w:ascii="Verdana" w:hAnsi="Verdana" w:cs="Arial"/>
          <w:sz w:val="20"/>
          <w:szCs w:val="20"/>
          <w:lang w:val="hr-HR" w:eastAsia="en-GB"/>
        </w:rPr>
        <w:t xml:space="preserve"> Ured disciplinskog tužioca (UDT), kao i Odjel redovno vode evidencije o relevantnim informacijama koje nastanu tokom godine, te da ih početkom godine</w:t>
      </w:r>
      <w:r w:rsidR="008B369B">
        <w:rPr>
          <w:rFonts w:ascii="Verdana" w:hAnsi="Verdana" w:cs="Arial"/>
          <w:sz w:val="20"/>
          <w:szCs w:val="20"/>
          <w:lang w:val="hr-HR" w:eastAsia="en-GB"/>
        </w:rPr>
        <w:t xml:space="preserve"> </w:t>
      </w:r>
      <w:r w:rsidRPr="00F06898">
        <w:rPr>
          <w:rFonts w:ascii="Verdana" w:hAnsi="Verdana" w:cs="Arial"/>
          <w:sz w:val="20"/>
          <w:szCs w:val="20"/>
          <w:lang w:val="hr-HR" w:eastAsia="en-GB"/>
        </w:rPr>
        <w:t>dostave Vijeću za prethodnu godinu.</w:t>
      </w:r>
    </w:p>
    <w:p w14:paraId="34136298" w14:textId="77777777" w:rsidR="00F06898" w:rsidRPr="00F06898" w:rsidRDefault="00F06898" w:rsidP="00D84178">
      <w:pPr>
        <w:spacing w:before="100" w:beforeAutospacing="1" w:after="100" w:afterAutospacing="1" w:line="276" w:lineRule="auto"/>
        <w:jc w:val="both"/>
        <w:rPr>
          <w:rFonts w:ascii="Verdana" w:hAnsi="Verdana" w:cs="Arial"/>
          <w:sz w:val="20"/>
          <w:szCs w:val="20"/>
          <w:lang w:val="hr-HR" w:eastAsia="en-GB"/>
        </w:rPr>
      </w:pPr>
      <w:r w:rsidRPr="0039355F">
        <w:rPr>
          <w:rFonts w:ascii="Verdana" w:hAnsi="Verdana" w:cs="Arial"/>
          <w:sz w:val="20"/>
          <w:szCs w:val="20"/>
          <w:lang w:val="hr-HR" w:eastAsia="en-GB"/>
        </w:rPr>
        <w:t>Evidenciju prijava i izrečenih mjera disciplinskih komisija trenutno vode Ured disciplinskog tužioca i Odjel.</w:t>
      </w:r>
    </w:p>
    <w:p w14:paraId="66BA362F" w14:textId="77777777" w:rsidR="002744E5" w:rsidRPr="00921582" w:rsidRDefault="002744E5" w:rsidP="00D84178">
      <w:pPr>
        <w:spacing w:line="276" w:lineRule="auto"/>
        <w:jc w:val="both"/>
        <w:rPr>
          <w:rFonts w:ascii="Verdana" w:hAnsi="Verdana" w:cs="Arial"/>
          <w:sz w:val="20"/>
          <w:szCs w:val="20"/>
          <w:lang w:val="hr-HR"/>
        </w:rPr>
      </w:pPr>
      <w:r w:rsidRPr="00921582">
        <w:rPr>
          <w:rFonts w:ascii="Verdana" w:hAnsi="Verdana" w:cs="Arial"/>
          <w:sz w:val="20"/>
          <w:szCs w:val="20"/>
          <w:lang w:val="hr-HR"/>
        </w:rPr>
        <w:t>Evidencije za 202</w:t>
      </w:r>
      <w:r w:rsidR="00BB6661">
        <w:rPr>
          <w:rFonts w:ascii="Verdana" w:hAnsi="Verdana" w:cs="Arial"/>
          <w:sz w:val="20"/>
          <w:szCs w:val="20"/>
          <w:lang w:val="hr-HR"/>
        </w:rPr>
        <w:t>5</w:t>
      </w:r>
      <w:r w:rsidRPr="00921582">
        <w:rPr>
          <w:rFonts w:ascii="Verdana" w:hAnsi="Verdana" w:cs="Arial"/>
          <w:sz w:val="20"/>
          <w:szCs w:val="20"/>
          <w:lang w:val="hr-HR"/>
        </w:rPr>
        <w:t xml:space="preserve">. godinu </w:t>
      </w:r>
      <w:r w:rsidR="00BB6661">
        <w:rPr>
          <w:rFonts w:ascii="Verdana" w:hAnsi="Verdana" w:cs="Arial"/>
          <w:sz w:val="20"/>
          <w:szCs w:val="20"/>
          <w:lang w:val="hr-HR"/>
        </w:rPr>
        <w:t xml:space="preserve">dostavile su </w:t>
      </w:r>
      <w:r w:rsidR="008857C6">
        <w:rPr>
          <w:rFonts w:ascii="Verdana" w:hAnsi="Verdana" w:cs="Arial"/>
          <w:sz w:val="20"/>
          <w:szCs w:val="20"/>
          <w:lang w:val="hr-HR"/>
        </w:rPr>
        <w:t>sve pravosudne institucije, kao i</w:t>
      </w:r>
      <w:r w:rsidRPr="00921582">
        <w:rPr>
          <w:rFonts w:ascii="Verdana" w:hAnsi="Verdana" w:cs="Arial"/>
          <w:sz w:val="20"/>
          <w:szCs w:val="20"/>
          <w:lang w:val="hr-HR"/>
        </w:rPr>
        <w:t xml:space="preserve"> </w:t>
      </w:r>
      <w:r w:rsidR="008B369B">
        <w:rPr>
          <w:rFonts w:ascii="Verdana" w:hAnsi="Verdana" w:cs="Arial"/>
          <w:sz w:val="20"/>
          <w:szCs w:val="20"/>
          <w:lang w:val="hr-HR"/>
        </w:rPr>
        <w:t>c</w:t>
      </w:r>
      <w:r w:rsidR="008857C6">
        <w:rPr>
          <w:rFonts w:ascii="Verdana" w:hAnsi="Verdana" w:cs="Arial"/>
          <w:sz w:val="20"/>
          <w:szCs w:val="20"/>
          <w:lang w:val="hr-HR"/>
        </w:rPr>
        <w:t>entri za edukaciju sudija i tužilaca Republike Srpske i Federacije Bosne i Hercegovine</w:t>
      </w:r>
      <w:r w:rsidR="008B369B">
        <w:rPr>
          <w:rFonts w:ascii="Verdana" w:hAnsi="Verdana" w:cs="Arial"/>
          <w:sz w:val="20"/>
          <w:szCs w:val="20"/>
          <w:lang w:val="hr-HR"/>
        </w:rPr>
        <w:t xml:space="preserve"> (U daljem tekstu: CEST RS/FBiH)</w:t>
      </w:r>
      <w:r w:rsidR="008857C6">
        <w:rPr>
          <w:rFonts w:ascii="Verdana" w:hAnsi="Verdana" w:cs="Arial"/>
          <w:sz w:val="20"/>
          <w:szCs w:val="20"/>
          <w:lang w:val="hr-HR"/>
        </w:rPr>
        <w:t>.</w:t>
      </w:r>
    </w:p>
    <w:p w14:paraId="10BDA888" w14:textId="77777777" w:rsidR="009055A0" w:rsidRDefault="002E7D4D" w:rsidP="00D84178">
      <w:pPr>
        <w:spacing w:line="276" w:lineRule="auto"/>
        <w:jc w:val="both"/>
        <w:rPr>
          <w:rFonts w:ascii="Verdana" w:hAnsi="Verdana" w:cs="Arial"/>
          <w:sz w:val="20"/>
          <w:szCs w:val="20"/>
          <w:lang w:val="hr-HR"/>
        </w:rPr>
      </w:pPr>
      <w:r>
        <w:rPr>
          <w:rFonts w:ascii="Verdana" w:hAnsi="Verdana" w:cs="Arial"/>
          <w:sz w:val="20"/>
          <w:szCs w:val="20"/>
          <w:lang w:val="hr-HR"/>
        </w:rPr>
        <w:t>Shodno dostavljenom, a</w:t>
      </w:r>
      <w:r w:rsidR="002744E5" w:rsidRPr="00921582">
        <w:rPr>
          <w:rFonts w:ascii="Verdana" w:hAnsi="Verdana" w:cs="Arial"/>
          <w:sz w:val="20"/>
          <w:szCs w:val="20"/>
          <w:lang w:val="hr-HR"/>
        </w:rPr>
        <w:t>nal</w:t>
      </w:r>
      <w:r>
        <w:rPr>
          <w:rFonts w:ascii="Verdana" w:hAnsi="Verdana" w:cs="Arial"/>
          <w:sz w:val="20"/>
          <w:szCs w:val="20"/>
          <w:lang w:val="hr-HR"/>
        </w:rPr>
        <w:t xml:space="preserve">iza je podijeljena u tri dijela, na način da </w:t>
      </w:r>
      <w:r w:rsidR="00E02314">
        <w:rPr>
          <w:rFonts w:ascii="Verdana" w:hAnsi="Verdana" w:cs="Arial"/>
          <w:sz w:val="20"/>
          <w:szCs w:val="20"/>
          <w:lang w:val="hr-HR"/>
        </w:rPr>
        <w:t xml:space="preserve">su </w:t>
      </w:r>
      <w:r>
        <w:rPr>
          <w:rFonts w:ascii="Verdana" w:hAnsi="Verdana" w:cs="Arial"/>
          <w:sz w:val="20"/>
          <w:szCs w:val="20"/>
          <w:lang w:val="hr-HR"/>
        </w:rPr>
        <w:t>u</w:t>
      </w:r>
      <w:r w:rsidR="002744E5" w:rsidRPr="00921582">
        <w:rPr>
          <w:rFonts w:ascii="Verdana" w:hAnsi="Verdana" w:cs="Arial"/>
          <w:sz w:val="20"/>
          <w:szCs w:val="20"/>
          <w:lang w:val="hr-HR"/>
        </w:rPr>
        <w:t xml:space="preserve"> prvom dijelu analizirani podaci iz evidencija pravosudnih institucija</w:t>
      </w:r>
      <w:r>
        <w:rPr>
          <w:rFonts w:ascii="Verdana" w:hAnsi="Verdana" w:cs="Arial"/>
          <w:sz w:val="20"/>
          <w:szCs w:val="20"/>
          <w:lang w:val="hr-HR"/>
        </w:rPr>
        <w:t xml:space="preserve">, u </w:t>
      </w:r>
      <w:r w:rsidR="002744E5" w:rsidRPr="00921582">
        <w:rPr>
          <w:rFonts w:ascii="Verdana" w:hAnsi="Verdana" w:cs="Arial"/>
          <w:sz w:val="20"/>
          <w:szCs w:val="20"/>
          <w:lang w:val="hr-HR"/>
        </w:rPr>
        <w:t xml:space="preserve">drugom dijelu su analizirani podaci dostavljeni od strane CEST-ova, a u trećem dijelu su analizirani podaci UDT-a i Odjela. </w:t>
      </w:r>
    </w:p>
    <w:p w14:paraId="56F71BC2" w14:textId="77777777" w:rsidR="00BB6661" w:rsidRDefault="00BB6661" w:rsidP="00D84178">
      <w:pPr>
        <w:spacing w:line="276" w:lineRule="auto"/>
        <w:jc w:val="both"/>
        <w:rPr>
          <w:rFonts w:ascii="Verdana" w:hAnsi="Verdana" w:cs="Arial"/>
          <w:sz w:val="20"/>
          <w:szCs w:val="20"/>
          <w:lang w:val="hr-HR"/>
        </w:rPr>
      </w:pPr>
    </w:p>
    <w:p w14:paraId="60F0BDB6" w14:textId="77777777" w:rsidR="00BB6661" w:rsidRDefault="00BB6661" w:rsidP="00D84178">
      <w:pPr>
        <w:spacing w:line="276" w:lineRule="auto"/>
        <w:jc w:val="both"/>
        <w:rPr>
          <w:rFonts w:ascii="Verdana" w:hAnsi="Verdana" w:cs="Arial"/>
          <w:sz w:val="20"/>
          <w:szCs w:val="20"/>
          <w:lang w:val="hr-HR"/>
        </w:rPr>
      </w:pPr>
    </w:p>
    <w:p w14:paraId="0EAADFF6" w14:textId="77777777" w:rsidR="00430AFF" w:rsidRPr="00921582" w:rsidRDefault="002744E5" w:rsidP="00D84178">
      <w:pPr>
        <w:pStyle w:val="Heading2"/>
        <w:spacing w:line="276" w:lineRule="auto"/>
        <w:rPr>
          <w:lang w:val="hr-HR"/>
        </w:rPr>
      </w:pPr>
      <w:bookmarkStart w:id="4" w:name="_Toc229748329"/>
      <w:r w:rsidRPr="00921582">
        <w:rPr>
          <w:lang w:val="hr-HR"/>
        </w:rPr>
        <w:lastRenderedPageBreak/>
        <w:t xml:space="preserve">1. </w:t>
      </w:r>
      <w:r w:rsidR="00430AFF" w:rsidRPr="00921582">
        <w:rPr>
          <w:lang w:val="hr-HR"/>
        </w:rPr>
        <w:t>Evidencije pravosudnih institucija</w:t>
      </w:r>
      <w:bookmarkEnd w:id="4"/>
    </w:p>
    <w:p w14:paraId="4C5EA8F9" w14:textId="77777777" w:rsidR="005055E6" w:rsidRPr="00921582" w:rsidRDefault="005055E6" w:rsidP="00D84178">
      <w:pPr>
        <w:spacing w:line="276" w:lineRule="auto"/>
        <w:rPr>
          <w:rFonts w:ascii="Verdana" w:hAnsi="Verdana"/>
          <w:sz w:val="22"/>
          <w:lang w:val="hr-HR"/>
        </w:rPr>
      </w:pPr>
    </w:p>
    <w:p w14:paraId="668532AB" w14:textId="77777777" w:rsidR="00BB6661" w:rsidRDefault="00D222D4" w:rsidP="00D84178">
      <w:pPr>
        <w:spacing w:line="276" w:lineRule="auto"/>
        <w:jc w:val="both"/>
        <w:rPr>
          <w:rFonts w:ascii="Verdana" w:hAnsi="Verdana" w:cstheme="minorHAnsi"/>
          <w:sz w:val="20"/>
          <w:szCs w:val="20"/>
          <w:lang w:val="hr-HR"/>
        </w:rPr>
      </w:pPr>
      <w:r w:rsidRPr="00921582">
        <w:rPr>
          <w:rFonts w:ascii="Verdana" w:hAnsi="Verdana" w:cstheme="minorHAnsi"/>
          <w:sz w:val="20"/>
          <w:szCs w:val="20"/>
          <w:lang w:val="hr-HR"/>
        </w:rPr>
        <w:t>Za 202</w:t>
      </w:r>
      <w:r w:rsidR="00BB6661">
        <w:rPr>
          <w:rFonts w:ascii="Verdana" w:hAnsi="Verdana" w:cstheme="minorHAnsi"/>
          <w:sz w:val="20"/>
          <w:szCs w:val="20"/>
          <w:lang w:val="hr-HR"/>
        </w:rPr>
        <w:t>5</w:t>
      </w:r>
      <w:r w:rsidRPr="00921582">
        <w:rPr>
          <w:rFonts w:ascii="Verdana" w:hAnsi="Verdana" w:cstheme="minorHAnsi"/>
          <w:sz w:val="20"/>
          <w:szCs w:val="20"/>
          <w:lang w:val="hr-HR"/>
        </w:rPr>
        <w:t>. godinu</w:t>
      </w:r>
      <w:r w:rsidR="002E7D4D">
        <w:rPr>
          <w:rFonts w:ascii="Verdana" w:hAnsi="Verdana" w:cstheme="minorHAnsi"/>
          <w:sz w:val="20"/>
          <w:szCs w:val="20"/>
          <w:lang w:val="hr-HR"/>
        </w:rPr>
        <w:t>,</w:t>
      </w:r>
      <w:r w:rsidRPr="00921582">
        <w:rPr>
          <w:rFonts w:ascii="Verdana" w:hAnsi="Verdana" w:cstheme="minorHAnsi"/>
          <w:sz w:val="20"/>
          <w:szCs w:val="20"/>
          <w:lang w:val="hr-HR"/>
        </w:rPr>
        <w:t xml:space="preserve"> </w:t>
      </w:r>
      <w:r w:rsidR="001D3286">
        <w:rPr>
          <w:rFonts w:ascii="Verdana" w:hAnsi="Verdana" w:cstheme="minorHAnsi"/>
          <w:sz w:val="20"/>
          <w:szCs w:val="20"/>
          <w:lang w:val="hr-HR"/>
        </w:rPr>
        <w:t>sve pravosudne i</w:t>
      </w:r>
      <w:r w:rsidR="001A7CD0">
        <w:rPr>
          <w:rFonts w:ascii="Verdana" w:hAnsi="Verdana" w:cstheme="minorHAnsi"/>
          <w:sz w:val="20"/>
          <w:szCs w:val="20"/>
          <w:lang w:val="hr-HR"/>
        </w:rPr>
        <w:t xml:space="preserve">nstitucije, </w:t>
      </w:r>
      <w:r w:rsidR="00BB6661">
        <w:rPr>
          <w:rFonts w:ascii="Verdana" w:hAnsi="Verdana" w:cstheme="minorHAnsi"/>
          <w:sz w:val="20"/>
          <w:szCs w:val="20"/>
          <w:lang w:val="hr-HR"/>
        </w:rPr>
        <w:t xml:space="preserve">ukupno </w:t>
      </w:r>
      <w:r w:rsidR="001A7CD0">
        <w:rPr>
          <w:rFonts w:ascii="Verdana" w:hAnsi="Verdana" w:cstheme="minorHAnsi"/>
          <w:sz w:val="20"/>
          <w:szCs w:val="20"/>
          <w:lang w:val="hr-HR"/>
        </w:rPr>
        <w:t xml:space="preserve">njih </w:t>
      </w:r>
      <w:r w:rsidR="001D3286">
        <w:rPr>
          <w:rFonts w:ascii="Verdana" w:hAnsi="Verdana" w:cstheme="minorHAnsi"/>
          <w:sz w:val="20"/>
          <w:szCs w:val="20"/>
          <w:lang w:val="hr-HR"/>
        </w:rPr>
        <w:t xml:space="preserve">102 </w:t>
      </w:r>
      <w:r w:rsidR="00BB6661">
        <w:rPr>
          <w:rFonts w:ascii="Verdana" w:hAnsi="Verdana" w:cstheme="minorHAnsi"/>
          <w:sz w:val="20"/>
          <w:szCs w:val="20"/>
          <w:lang w:val="hr-HR"/>
        </w:rPr>
        <w:t>su dostavile</w:t>
      </w:r>
      <w:r w:rsidRPr="00921582">
        <w:rPr>
          <w:rFonts w:ascii="Verdana" w:hAnsi="Verdana" w:cstheme="minorHAnsi"/>
          <w:sz w:val="20"/>
          <w:szCs w:val="20"/>
          <w:lang w:val="hr-HR"/>
        </w:rPr>
        <w:t xml:space="preserve"> evidencije</w:t>
      </w:r>
      <w:r w:rsidR="00DC7177">
        <w:rPr>
          <w:rFonts w:ascii="Verdana" w:hAnsi="Verdana" w:cstheme="minorHAnsi"/>
          <w:sz w:val="20"/>
          <w:szCs w:val="20"/>
          <w:lang w:val="hr-HR"/>
        </w:rPr>
        <w:t xml:space="preserve"> (100%)</w:t>
      </w:r>
      <w:r w:rsidR="008B369B">
        <w:rPr>
          <w:rFonts w:ascii="Verdana" w:hAnsi="Verdana" w:cstheme="minorHAnsi"/>
          <w:sz w:val="20"/>
          <w:szCs w:val="20"/>
          <w:lang w:val="hr-HR"/>
        </w:rPr>
        <w:t>.</w:t>
      </w:r>
    </w:p>
    <w:p w14:paraId="1EF5BEA3" w14:textId="77777777" w:rsidR="00674DEA" w:rsidRPr="00013A48" w:rsidRDefault="00674DEA" w:rsidP="00D84178">
      <w:pPr>
        <w:spacing w:line="276" w:lineRule="auto"/>
        <w:jc w:val="both"/>
        <w:rPr>
          <w:rFonts w:ascii="Verdana" w:hAnsi="Verdana" w:cstheme="minorHAnsi"/>
          <w:sz w:val="20"/>
          <w:szCs w:val="20"/>
          <w:lang w:val="hr-HR"/>
        </w:rPr>
      </w:pPr>
      <w:r w:rsidRPr="00674DEA">
        <w:rPr>
          <w:rFonts w:ascii="Verdana" w:hAnsi="Verdana" w:cstheme="minorHAnsi"/>
          <w:sz w:val="20"/>
          <w:szCs w:val="20"/>
          <w:lang w:val="hr-HR"/>
        </w:rPr>
        <w:t xml:space="preserve">Najviše podataka </w:t>
      </w:r>
      <w:r w:rsidR="008B369B">
        <w:rPr>
          <w:rFonts w:ascii="Verdana" w:hAnsi="Verdana" w:cstheme="minorHAnsi"/>
          <w:sz w:val="20"/>
          <w:szCs w:val="20"/>
          <w:lang w:val="hr-HR"/>
        </w:rPr>
        <w:t>iz evidencija</w:t>
      </w:r>
      <w:r w:rsidR="008B369B" w:rsidRPr="00674DEA">
        <w:rPr>
          <w:rFonts w:ascii="Verdana" w:hAnsi="Verdana" w:cstheme="minorHAnsi"/>
          <w:sz w:val="20"/>
          <w:szCs w:val="20"/>
          <w:lang w:val="hr-HR"/>
        </w:rPr>
        <w:t xml:space="preserve"> </w:t>
      </w:r>
      <w:r w:rsidRPr="00674DEA">
        <w:rPr>
          <w:rFonts w:ascii="Verdana" w:hAnsi="Verdana" w:cstheme="minorHAnsi"/>
          <w:sz w:val="20"/>
          <w:szCs w:val="20"/>
          <w:lang w:val="hr-HR"/>
        </w:rPr>
        <w:t>možemo posmatrati i analizirati o izuzećima</w:t>
      </w:r>
      <w:r w:rsidR="008B369B">
        <w:rPr>
          <w:rFonts w:ascii="Verdana" w:hAnsi="Verdana" w:cstheme="minorHAnsi"/>
          <w:sz w:val="20"/>
          <w:szCs w:val="20"/>
          <w:lang w:val="hr-HR"/>
        </w:rPr>
        <w:t xml:space="preserve"> </w:t>
      </w:r>
      <w:r w:rsidRPr="00674DEA">
        <w:rPr>
          <w:rFonts w:ascii="Verdana" w:hAnsi="Verdana" w:cstheme="minorHAnsi"/>
          <w:sz w:val="20"/>
          <w:szCs w:val="20"/>
          <w:lang w:val="hr-HR"/>
        </w:rPr>
        <w:t xml:space="preserve">NPF i dodatnih aktivnosti NPF, s obzirom da najviše </w:t>
      </w:r>
      <w:r w:rsidR="001A7CD0">
        <w:rPr>
          <w:rFonts w:ascii="Verdana" w:hAnsi="Verdana" w:cstheme="minorHAnsi"/>
          <w:sz w:val="20"/>
          <w:szCs w:val="20"/>
          <w:lang w:val="hr-HR"/>
        </w:rPr>
        <w:t>podataka se odnosi na ove</w:t>
      </w:r>
      <w:r w:rsidRPr="00674DEA">
        <w:rPr>
          <w:rFonts w:ascii="Verdana" w:hAnsi="Verdana" w:cstheme="minorHAnsi"/>
          <w:sz w:val="20"/>
          <w:szCs w:val="20"/>
          <w:lang w:val="hr-HR"/>
        </w:rPr>
        <w:t xml:space="preserve"> dvije </w:t>
      </w:r>
      <w:r w:rsidR="001A7CD0">
        <w:rPr>
          <w:rFonts w:ascii="Verdana" w:hAnsi="Verdana" w:cstheme="minorHAnsi"/>
          <w:sz w:val="20"/>
          <w:szCs w:val="20"/>
          <w:lang w:val="hr-HR"/>
        </w:rPr>
        <w:t>kategorije</w:t>
      </w:r>
      <w:r w:rsidR="001D3286">
        <w:rPr>
          <w:rFonts w:ascii="Verdana" w:hAnsi="Verdana" w:cstheme="minorHAnsi"/>
          <w:sz w:val="20"/>
          <w:szCs w:val="20"/>
          <w:lang w:val="hr-HR"/>
        </w:rPr>
        <w:t>, dok ostalih evidencija o p</w:t>
      </w:r>
      <w:r w:rsidR="008B369B">
        <w:rPr>
          <w:rFonts w:ascii="Verdana" w:hAnsi="Verdana" w:cstheme="minorHAnsi"/>
          <w:sz w:val="20"/>
          <w:szCs w:val="20"/>
          <w:lang w:val="hr-HR"/>
        </w:rPr>
        <w:t>odacima</w:t>
      </w:r>
      <w:r w:rsidR="001D3286">
        <w:rPr>
          <w:rFonts w:ascii="Verdana" w:hAnsi="Verdana" w:cstheme="minorHAnsi"/>
          <w:sz w:val="20"/>
          <w:szCs w:val="20"/>
          <w:lang w:val="hr-HR"/>
        </w:rPr>
        <w:t xml:space="preserve"> koj</w:t>
      </w:r>
      <w:r w:rsidR="008B369B">
        <w:rPr>
          <w:rFonts w:ascii="Verdana" w:hAnsi="Verdana" w:cstheme="minorHAnsi"/>
          <w:sz w:val="20"/>
          <w:szCs w:val="20"/>
          <w:lang w:val="hr-HR"/>
        </w:rPr>
        <w:t>i</w:t>
      </w:r>
      <w:r w:rsidR="001D3286">
        <w:rPr>
          <w:rFonts w:ascii="Verdana" w:hAnsi="Verdana" w:cstheme="minorHAnsi"/>
          <w:sz w:val="20"/>
          <w:szCs w:val="20"/>
          <w:lang w:val="hr-HR"/>
        </w:rPr>
        <w:t xml:space="preserve"> se prate u skladu sa instrumentima, nema ili ih ima u veoma </w:t>
      </w:r>
      <w:r w:rsidR="001D3286" w:rsidRPr="00013A48">
        <w:rPr>
          <w:rFonts w:ascii="Verdana" w:hAnsi="Verdana" w:cstheme="minorHAnsi"/>
          <w:sz w:val="20"/>
          <w:szCs w:val="20"/>
          <w:lang w:val="hr-HR"/>
        </w:rPr>
        <w:t>malom broju</w:t>
      </w:r>
      <w:r w:rsidRPr="00013A48">
        <w:rPr>
          <w:rFonts w:ascii="Verdana" w:hAnsi="Verdana" w:cstheme="minorHAnsi"/>
          <w:sz w:val="20"/>
          <w:szCs w:val="20"/>
          <w:lang w:val="hr-HR"/>
        </w:rPr>
        <w:t>.</w:t>
      </w:r>
    </w:p>
    <w:p w14:paraId="549F3800" w14:textId="77777777" w:rsidR="008B369B" w:rsidRPr="00013A48" w:rsidRDefault="00452536" w:rsidP="00D84178">
      <w:pPr>
        <w:spacing w:line="276" w:lineRule="auto"/>
        <w:jc w:val="both"/>
        <w:rPr>
          <w:rFonts w:ascii="Verdana" w:hAnsi="Verdana" w:cstheme="minorHAnsi"/>
          <w:sz w:val="20"/>
          <w:szCs w:val="20"/>
          <w:lang w:val="hr-HR"/>
        </w:rPr>
      </w:pPr>
      <w:r w:rsidRPr="00013A48">
        <w:rPr>
          <w:rFonts w:ascii="Verdana" w:hAnsi="Verdana" w:cstheme="minorHAnsi"/>
          <w:sz w:val="20"/>
          <w:szCs w:val="20"/>
          <w:lang w:val="hr-HR"/>
        </w:rPr>
        <w:t xml:space="preserve">U sljedećoj tabeli su prikazani </w:t>
      </w:r>
      <w:r w:rsidR="008B369B" w:rsidRPr="00013A48">
        <w:rPr>
          <w:rFonts w:ascii="Verdana" w:hAnsi="Verdana" w:cstheme="minorHAnsi"/>
          <w:sz w:val="20"/>
          <w:szCs w:val="20"/>
          <w:lang w:val="hr-HR"/>
        </w:rPr>
        <w:t xml:space="preserve">unosa </w:t>
      </w:r>
      <w:r w:rsidRPr="00013A48">
        <w:rPr>
          <w:rFonts w:ascii="Verdana" w:hAnsi="Verdana" w:cstheme="minorHAnsi"/>
          <w:sz w:val="20"/>
          <w:szCs w:val="20"/>
          <w:lang w:val="hr-HR"/>
        </w:rPr>
        <w:t>pravosudnih institucija u evidencije za protekle 4 godine</w:t>
      </w:r>
      <w:r w:rsidR="008B369B" w:rsidRPr="00013A48">
        <w:rPr>
          <w:rFonts w:ascii="Verdana" w:hAnsi="Verdana" w:cstheme="minorHAnsi"/>
          <w:sz w:val="20"/>
          <w:szCs w:val="20"/>
          <w:lang w:val="hr-HR"/>
        </w:rPr>
        <w:t>, po vrsti</w:t>
      </w:r>
      <w:r w:rsidRPr="00013A48">
        <w:rPr>
          <w:rFonts w:ascii="Verdana" w:hAnsi="Verdana" w:cstheme="minorHAnsi"/>
          <w:sz w:val="20"/>
          <w:szCs w:val="20"/>
          <w:lang w:val="hr-HR"/>
        </w:rPr>
        <w:t xml:space="preserve"> indikatora</w:t>
      </w:r>
      <w:r w:rsidR="008B369B" w:rsidRPr="00013A48">
        <w:rPr>
          <w:rFonts w:ascii="Verdana" w:hAnsi="Verdana" w:cstheme="minorHAnsi"/>
          <w:sz w:val="20"/>
          <w:szCs w:val="20"/>
          <w:lang w:val="hr-HR"/>
        </w:rPr>
        <w:t>.</w:t>
      </w:r>
    </w:p>
    <w:tbl>
      <w:tblPr>
        <w:tblStyle w:val="GridTable4-Accent51"/>
        <w:tblW w:w="9067" w:type="dxa"/>
        <w:tblLook w:val="0620" w:firstRow="1" w:lastRow="0" w:firstColumn="0" w:lastColumn="0" w:noHBand="1" w:noVBand="1"/>
      </w:tblPr>
      <w:tblGrid>
        <w:gridCol w:w="3964"/>
        <w:gridCol w:w="1276"/>
        <w:gridCol w:w="1276"/>
        <w:gridCol w:w="1276"/>
        <w:gridCol w:w="1275"/>
      </w:tblGrid>
      <w:tr w:rsidR="00452536" w14:paraId="7481C2F3" w14:textId="77777777" w:rsidTr="00013A48">
        <w:trPr>
          <w:cnfStyle w:val="100000000000" w:firstRow="1" w:lastRow="0" w:firstColumn="0" w:lastColumn="0" w:oddVBand="0" w:evenVBand="0" w:oddHBand="0" w:evenHBand="0" w:firstRowFirstColumn="0" w:firstRowLastColumn="0" w:lastRowFirstColumn="0" w:lastRowLastColumn="0"/>
          <w:trHeight w:val="320"/>
        </w:trPr>
        <w:tc>
          <w:tcPr>
            <w:tcW w:w="3964" w:type="dxa"/>
            <w:tcBorders>
              <w:top w:val="single" w:sz="4" w:space="0" w:color="auto"/>
              <w:left w:val="single" w:sz="4" w:space="0" w:color="auto"/>
            </w:tcBorders>
            <w:shd w:val="clear" w:color="auto" w:fill="DAEEF3" w:themeFill="accent5" w:themeFillTint="33"/>
            <w:noWrap/>
            <w:hideMark/>
          </w:tcPr>
          <w:p w14:paraId="7B342818" w14:textId="77777777" w:rsidR="00452536" w:rsidRPr="00F64E5D" w:rsidRDefault="00452536" w:rsidP="00D84178">
            <w:pPr>
              <w:spacing w:after="0" w:line="276" w:lineRule="auto"/>
              <w:rPr>
                <w:rFonts w:ascii="Verdana" w:eastAsia="Times New Roman" w:hAnsi="Verdana" w:cstheme="minorHAnsi"/>
                <w:szCs w:val="21"/>
                <w:lang w:val="hr-HR" w:eastAsia="en-GB"/>
              </w:rPr>
            </w:pPr>
            <w:r w:rsidRPr="00F64E5D">
              <w:rPr>
                <w:rFonts w:ascii="Verdana" w:eastAsia="Times New Roman" w:hAnsi="Verdana" w:cstheme="minorHAnsi"/>
                <w:color w:val="auto"/>
                <w:szCs w:val="21"/>
                <w:lang w:val="hr-HR" w:eastAsia="en-GB"/>
              </w:rPr>
              <w:t>Evidencije</w:t>
            </w:r>
          </w:p>
        </w:tc>
        <w:tc>
          <w:tcPr>
            <w:tcW w:w="1276" w:type="dxa"/>
            <w:tcBorders>
              <w:top w:val="single" w:sz="4" w:space="0" w:color="auto"/>
            </w:tcBorders>
            <w:shd w:val="clear" w:color="auto" w:fill="DAEEF3" w:themeFill="accent5" w:themeFillTint="33"/>
            <w:hideMark/>
          </w:tcPr>
          <w:p w14:paraId="1AF32798"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2025</w:t>
            </w:r>
          </w:p>
        </w:tc>
        <w:tc>
          <w:tcPr>
            <w:tcW w:w="1276" w:type="dxa"/>
            <w:tcBorders>
              <w:top w:val="single" w:sz="4" w:space="0" w:color="auto"/>
            </w:tcBorders>
            <w:shd w:val="clear" w:color="auto" w:fill="DAEEF3" w:themeFill="accent5" w:themeFillTint="33"/>
            <w:hideMark/>
          </w:tcPr>
          <w:p w14:paraId="7D42A3E5"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2024</w:t>
            </w:r>
          </w:p>
        </w:tc>
        <w:tc>
          <w:tcPr>
            <w:tcW w:w="1276" w:type="dxa"/>
            <w:tcBorders>
              <w:top w:val="single" w:sz="4" w:space="0" w:color="auto"/>
            </w:tcBorders>
            <w:shd w:val="clear" w:color="auto" w:fill="DAEEF3" w:themeFill="accent5" w:themeFillTint="33"/>
            <w:noWrap/>
            <w:hideMark/>
          </w:tcPr>
          <w:p w14:paraId="00967272"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2023</w:t>
            </w:r>
          </w:p>
        </w:tc>
        <w:tc>
          <w:tcPr>
            <w:tcW w:w="1275" w:type="dxa"/>
            <w:tcBorders>
              <w:top w:val="single" w:sz="4" w:space="0" w:color="auto"/>
              <w:right w:val="single" w:sz="4" w:space="0" w:color="auto"/>
            </w:tcBorders>
            <w:shd w:val="clear" w:color="auto" w:fill="DAEEF3" w:themeFill="accent5" w:themeFillTint="33"/>
            <w:noWrap/>
            <w:hideMark/>
          </w:tcPr>
          <w:p w14:paraId="26B12268"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2022</w:t>
            </w:r>
          </w:p>
        </w:tc>
      </w:tr>
      <w:tr w:rsidR="00452536" w14:paraId="1CF77C5F" w14:textId="77777777" w:rsidTr="00452536">
        <w:trPr>
          <w:trHeight w:val="447"/>
        </w:trPr>
        <w:tc>
          <w:tcPr>
            <w:tcW w:w="3964" w:type="dxa"/>
            <w:tcBorders>
              <w:top w:val="single" w:sz="4" w:space="0" w:color="9CC2E5"/>
              <w:left w:val="single" w:sz="4" w:space="0" w:color="auto"/>
              <w:bottom w:val="single" w:sz="4" w:space="0" w:color="9CC2E5"/>
              <w:right w:val="single" w:sz="4" w:space="0" w:color="9CC2E5"/>
            </w:tcBorders>
            <w:shd w:val="clear" w:color="auto" w:fill="FDE9D9" w:themeFill="accent6" w:themeFillTint="33"/>
            <w:hideMark/>
          </w:tcPr>
          <w:p w14:paraId="3120E172" w14:textId="77777777" w:rsidR="00452536" w:rsidRPr="00F64E5D" w:rsidRDefault="00452536" w:rsidP="00D84178">
            <w:pPr>
              <w:spacing w:after="0" w:line="276" w:lineRule="auto"/>
              <w:rPr>
                <w:rFonts w:ascii="Verdana" w:eastAsia="Times New Roman" w:hAnsi="Verdana" w:cs="Calibri"/>
                <w:b/>
                <w:bCs/>
                <w:color w:val="000000"/>
                <w:szCs w:val="21"/>
                <w:lang w:eastAsia="en-GB"/>
              </w:rPr>
            </w:pPr>
            <w:r w:rsidRPr="00F64E5D">
              <w:rPr>
                <w:rFonts w:ascii="Verdana" w:eastAsia="Times New Roman" w:hAnsi="Verdana" w:cs="Calibri"/>
                <w:b/>
                <w:bCs/>
                <w:color w:val="000000"/>
                <w:szCs w:val="21"/>
                <w:lang w:eastAsia="en-GB"/>
              </w:rPr>
              <w:t>Evidencija dodatnih aktivnosti NPF</w:t>
            </w:r>
          </w:p>
        </w:tc>
        <w:tc>
          <w:tcPr>
            <w:tcW w:w="1276" w:type="dxa"/>
            <w:tcBorders>
              <w:top w:val="single" w:sz="4" w:space="0" w:color="9CC2E5"/>
              <w:left w:val="single" w:sz="4" w:space="0" w:color="9CC2E5"/>
              <w:bottom w:val="single" w:sz="4" w:space="0" w:color="9CC2E5"/>
              <w:right w:val="single" w:sz="4" w:space="0" w:color="9CC2E5"/>
            </w:tcBorders>
          </w:tcPr>
          <w:p w14:paraId="5575A9B4" w14:textId="3B0E87FB" w:rsidR="00452536" w:rsidRPr="00F64E5D" w:rsidRDefault="00452536" w:rsidP="00FE2B99">
            <w:pPr>
              <w:spacing w:after="0" w:line="276" w:lineRule="auto"/>
              <w:jc w:val="right"/>
              <w:rPr>
                <w:rFonts w:ascii="Verdana" w:eastAsia="Times New Roman" w:hAnsi="Verdana" w:cs="Calibri"/>
                <w:color w:val="000000"/>
                <w:szCs w:val="21"/>
                <w:lang w:val="bs-Latn-BA" w:eastAsia="en-GB"/>
              </w:rPr>
            </w:pPr>
            <w:r w:rsidRPr="00F64E5D">
              <w:rPr>
                <w:rFonts w:ascii="Verdana" w:eastAsia="Times New Roman" w:hAnsi="Verdana" w:cs="Calibri"/>
                <w:color w:val="000000"/>
                <w:szCs w:val="21"/>
                <w:lang w:val="bs-Latn-BA" w:eastAsia="en-GB"/>
              </w:rPr>
              <w:t>4</w:t>
            </w:r>
            <w:r w:rsidR="00FE2B99">
              <w:rPr>
                <w:rFonts w:ascii="Verdana" w:eastAsia="Times New Roman" w:hAnsi="Verdana" w:cs="Calibri"/>
                <w:color w:val="000000"/>
                <w:szCs w:val="21"/>
                <w:lang w:val="bs-Latn-BA" w:eastAsia="en-GB"/>
              </w:rPr>
              <w:t>50</w:t>
            </w:r>
          </w:p>
        </w:tc>
        <w:tc>
          <w:tcPr>
            <w:tcW w:w="1276" w:type="dxa"/>
            <w:tcBorders>
              <w:top w:val="single" w:sz="4" w:space="0" w:color="9CC2E5"/>
              <w:left w:val="single" w:sz="4" w:space="0" w:color="9CC2E5"/>
              <w:bottom w:val="single" w:sz="4" w:space="0" w:color="9CC2E5"/>
              <w:right w:val="single" w:sz="4" w:space="0" w:color="9CC2E5"/>
            </w:tcBorders>
            <w:hideMark/>
          </w:tcPr>
          <w:p w14:paraId="1DFC4FAF"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445</w:t>
            </w:r>
          </w:p>
        </w:tc>
        <w:tc>
          <w:tcPr>
            <w:tcW w:w="1276" w:type="dxa"/>
            <w:tcBorders>
              <w:top w:val="single" w:sz="4" w:space="0" w:color="9CC2E5"/>
              <w:left w:val="single" w:sz="4" w:space="0" w:color="9CC2E5"/>
              <w:bottom w:val="single" w:sz="4" w:space="0" w:color="9CC2E5"/>
              <w:right w:val="single" w:sz="4" w:space="0" w:color="9CC2E5"/>
            </w:tcBorders>
            <w:hideMark/>
          </w:tcPr>
          <w:p w14:paraId="7389B8A0"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384</w:t>
            </w:r>
          </w:p>
        </w:tc>
        <w:tc>
          <w:tcPr>
            <w:tcW w:w="1275" w:type="dxa"/>
            <w:tcBorders>
              <w:top w:val="single" w:sz="4" w:space="0" w:color="9CC2E5"/>
              <w:left w:val="single" w:sz="4" w:space="0" w:color="9CC2E5"/>
              <w:bottom w:val="single" w:sz="4" w:space="0" w:color="9CC2E5"/>
              <w:right w:val="single" w:sz="4" w:space="0" w:color="auto"/>
            </w:tcBorders>
            <w:noWrap/>
            <w:hideMark/>
          </w:tcPr>
          <w:p w14:paraId="057CB9FB"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617</w:t>
            </w:r>
          </w:p>
        </w:tc>
      </w:tr>
      <w:tr w:rsidR="00452536" w14:paraId="266588CE" w14:textId="77777777" w:rsidTr="00452536">
        <w:trPr>
          <w:trHeight w:val="551"/>
        </w:trPr>
        <w:tc>
          <w:tcPr>
            <w:tcW w:w="3964" w:type="dxa"/>
            <w:tcBorders>
              <w:top w:val="single" w:sz="4" w:space="0" w:color="9CC2E5"/>
              <w:left w:val="single" w:sz="4" w:space="0" w:color="auto"/>
              <w:bottom w:val="single" w:sz="4" w:space="0" w:color="9CC2E5"/>
              <w:right w:val="single" w:sz="4" w:space="0" w:color="9CC2E5"/>
            </w:tcBorders>
            <w:shd w:val="clear" w:color="auto" w:fill="FDE9D9" w:themeFill="accent6" w:themeFillTint="33"/>
            <w:hideMark/>
          </w:tcPr>
          <w:p w14:paraId="5D6B061A" w14:textId="77777777" w:rsidR="00452536" w:rsidRPr="00F64E5D" w:rsidRDefault="00452536" w:rsidP="00D84178">
            <w:pPr>
              <w:spacing w:after="0" w:line="276" w:lineRule="auto"/>
              <w:rPr>
                <w:rFonts w:ascii="Verdana" w:eastAsia="Times New Roman" w:hAnsi="Verdana" w:cs="Calibri"/>
                <w:b/>
                <w:bCs/>
                <w:color w:val="000000"/>
                <w:szCs w:val="21"/>
                <w:lang w:eastAsia="en-GB"/>
              </w:rPr>
            </w:pPr>
            <w:r w:rsidRPr="00F64E5D">
              <w:rPr>
                <w:rFonts w:ascii="Verdana" w:eastAsia="Times New Roman" w:hAnsi="Verdana" w:cs="Calibri"/>
                <w:b/>
                <w:bCs/>
                <w:color w:val="000000"/>
                <w:szCs w:val="21"/>
                <w:lang w:eastAsia="en-GB"/>
              </w:rPr>
              <w:t>Evidencija o prijemu poklona NPF i uposlenika</w:t>
            </w:r>
          </w:p>
        </w:tc>
        <w:tc>
          <w:tcPr>
            <w:tcW w:w="1276" w:type="dxa"/>
            <w:tcBorders>
              <w:top w:val="single" w:sz="4" w:space="0" w:color="9CC2E5"/>
              <w:left w:val="single" w:sz="4" w:space="0" w:color="9CC2E5"/>
              <w:bottom w:val="single" w:sz="4" w:space="0" w:color="9CC2E5"/>
              <w:right w:val="single" w:sz="4" w:space="0" w:color="9CC2E5"/>
            </w:tcBorders>
          </w:tcPr>
          <w:p w14:paraId="6DD5F91F" w14:textId="77777777" w:rsidR="00452536" w:rsidRPr="00F64E5D" w:rsidRDefault="00452536" w:rsidP="00D84178">
            <w:pPr>
              <w:spacing w:after="0" w:line="276" w:lineRule="auto"/>
              <w:jc w:val="right"/>
              <w:rPr>
                <w:rFonts w:ascii="Verdana" w:eastAsia="Times New Roman" w:hAnsi="Verdana" w:cs="Calibri"/>
                <w:color w:val="000000"/>
                <w:szCs w:val="21"/>
                <w:lang w:val="bs-Latn-BA" w:eastAsia="en-GB"/>
              </w:rPr>
            </w:pPr>
            <w:r w:rsidRPr="00F64E5D">
              <w:rPr>
                <w:rFonts w:ascii="Verdana" w:eastAsia="Times New Roman" w:hAnsi="Verdana" w:cs="Calibri"/>
                <w:color w:val="000000"/>
                <w:szCs w:val="21"/>
                <w:lang w:val="bs-Latn-BA" w:eastAsia="en-GB"/>
              </w:rPr>
              <w:t>2</w:t>
            </w:r>
          </w:p>
        </w:tc>
        <w:tc>
          <w:tcPr>
            <w:tcW w:w="1276" w:type="dxa"/>
            <w:tcBorders>
              <w:top w:val="single" w:sz="4" w:space="0" w:color="9CC2E5"/>
              <w:left w:val="single" w:sz="4" w:space="0" w:color="9CC2E5"/>
              <w:bottom w:val="single" w:sz="4" w:space="0" w:color="9CC2E5"/>
              <w:right w:val="single" w:sz="4" w:space="0" w:color="9CC2E5"/>
            </w:tcBorders>
          </w:tcPr>
          <w:p w14:paraId="44C306C2"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2</w:t>
            </w:r>
          </w:p>
          <w:p w14:paraId="08E71AEB"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p>
        </w:tc>
        <w:tc>
          <w:tcPr>
            <w:tcW w:w="1276" w:type="dxa"/>
            <w:tcBorders>
              <w:top w:val="single" w:sz="4" w:space="0" w:color="9CC2E5"/>
              <w:left w:val="single" w:sz="4" w:space="0" w:color="9CC2E5"/>
              <w:bottom w:val="single" w:sz="4" w:space="0" w:color="9CC2E5"/>
              <w:right w:val="single" w:sz="4" w:space="0" w:color="9CC2E5"/>
            </w:tcBorders>
            <w:hideMark/>
          </w:tcPr>
          <w:p w14:paraId="25006611"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7</w:t>
            </w:r>
          </w:p>
        </w:tc>
        <w:tc>
          <w:tcPr>
            <w:tcW w:w="1275" w:type="dxa"/>
            <w:tcBorders>
              <w:top w:val="single" w:sz="4" w:space="0" w:color="9CC2E5"/>
              <w:left w:val="single" w:sz="4" w:space="0" w:color="9CC2E5"/>
              <w:bottom w:val="single" w:sz="4" w:space="0" w:color="9CC2E5"/>
              <w:right w:val="single" w:sz="4" w:space="0" w:color="auto"/>
            </w:tcBorders>
            <w:noWrap/>
            <w:hideMark/>
          </w:tcPr>
          <w:p w14:paraId="1B585299"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5</w:t>
            </w:r>
          </w:p>
        </w:tc>
      </w:tr>
      <w:tr w:rsidR="00452536" w14:paraId="44AFAA08" w14:textId="77777777" w:rsidTr="00452536">
        <w:trPr>
          <w:trHeight w:val="714"/>
        </w:trPr>
        <w:tc>
          <w:tcPr>
            <w:tcW w:w="3964" w:type="dxa"/>
            <w:tcBorders>
              <w:top w:val="single" w:sz="4" w:space="0" w:color="9CC2E5"/>
              <w:left w:val="single" w:sz="4" w:space="0" w:color="auto"/>
              <w:bottom w:val="single" w:sz="4" w:space="0" w:color="9CC2E5"/>
              <w:right w:val="single" w:sz="4" w:space="0" w:color="9CC2E5"/>
            </w:tcBorders>
            <w:shd w:val="clear" w:color="auto" w:fill="FDE9D9" w:themeFill="accent6" w:themeFillTint="33"/>
            <w:hideMark/>
          </w:tcPr>
          <w:p w14:paraId="203E1CC8" w14:textId="77777777" w:rsidR="00452536" w:rsidRPr="00F64E5D" w:rsidRDefault="00452536" w:rsidP="00D84178">
            <w:pPr>
              <w:spacing w:after="0" w:line="276" w:lineRule="auto"/>
              <w:rPr>
                <w:rFonts w:ascii="Verdana" w:eastAsia="Times New Roman" w:hAnsi="Verdana" w:cs="Calibri"/>
                <w:b/>
                <w:bCs/>
                <w:color w:val="000000"/>
                <w:szCs w:val="21"/>
                <w:lang w:eastAsia="en-GB"/>
              </w:rPr>
            </w:pPr>
            <w:r w:rsidRPr="00F64E5D">
              <w:rPr>
                <w:rFonts w:ascii="Verdana" w:eastAsia="Times New Roman" w:hAnsi="Verdana" w:cs="Calibri"/>
                <w:b/>
                <w:bCs/>
                <w:color w:val="000000"/>
                <w:szCs w:val="21"/>
                <w:lang w:eastAsia="en-GB"/>
              </w:rPr>
              <w:t xml:space="preserve">Evidencija o ostvarenoj ex parte komunikaciji NPF i uposlenika </w:t>
            </w:r>
          </w:p>
        </w:tc>
        <w:tc>
          <w:tcPr>
            <w:tcW w:w="1276" w:type="dxa"/>
            <w:tcBorders>
              <w:top w:val="single" w:sz="4" w:space="0" w:color="9CC2E5"/>
              <w:left w:val="single" w:sz="4" w:space="0" w:color="9CC2E5"/>
              <w:bottom w:val="single" w:sz="4" w:space="0" w:color="9CC2E5"/>
              <w:right w:val="single" w:sz="4" w:space="0" w:color="9CC2E5"/>
            </w:tcBorders>
          </w:tcPr>
          <w:p w14:paraId="09E2E540" w14:textId="77777777" w:rsidR="00452536" w:rsidRPr="00F64E5D" w:rsidRDefault="00452536" w:rsidP="00D84178">
            <w:pPr>
              <w:spacing w:after="0" w:line="276" w:lineRule="auto"/>
              <w:jc w:val="right"/>
              <w:rPr>
                <w:rFonts w:ascii="Verdana" w:eastAsia="Times New Roman" w:hAnsi="Verdana" w:cs="Calibri"/>
                <w:color w:val="000000"/>
                <w:szCs w:val="21"/>
                <w:lang w:val="bs-Latn-BA" w:eastAsia="en-GB"/>
              </w:rPr>
            </w:pPr>
            <w:r w:rsidRPr="00F64E5D">
              <w:rPr>
                <w:rFonts w:ascii="Verdana" w:eastAsia="Times New Roman" w:hAnsi="Verdana" w:cs="Calibri"/>
                <w:color w:val="000000"/>
                <w:szCs w:val="21"/>
                <w:lang w:val="bs-Latn-BA" w:eastAsia="en-GB"/>
              </w:rPr>
              <w:t>2</w:t>
            </w:r>
          </w:p>
        </w:tc>
        <w:tc>
          <w:tcPr>
            <w:tcW w:w="1276" w:type="dxa"/>
            <w:tcBorders>
              <w:top w:val="single" w:sz="4" w:space="0" w:color="9CC2E5"/>
              <w:left w:val="single" w:sz="4" w:space="0" w:color="9CC2E5"/>
              <w:bottom w:val="single" w:sz="4" w:space="0" w:color="9CC2E5"/>
              <w:right w:val="single" w:sz="4" w:space="0" w:color="9CC2E5"/>
            </w:tcBorders>
            <w:hideMark/>
          </w:tcPr>
          <w:p w14:paraId="60816B64"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11</w:t>
            </w:r>
          </w:p>
        </w:tc>
        <w:tc>
          <w:tcPr>
            <w:tcW w:w="1276" w:type="dxa"/>
            <w:tcBorders>
              <w:top w:val="single" w:sz="4" w:space="0" w:color="9CC2E5"/>
              <w:left w:val="single" w:sz="4" w:space="0" w:color="9CC2E5"/>
              <w:bottom w:val="single" w:sz="4" w:space="0" w:color="9CC2E5"/>
              <w:right w:val="single" w:sz="4" w:space="0" w:color="9CC2E5"/>
            </w:tcBorders>
            <w:hideMark/>
          </w:tcPr>
          <w:p w14:paraId="6001BC6F"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8</w:t>
            </w:r>
          </w:p>
        </w:tc>
        <w:tc>
          <w:tcPr>
            <w:tcW w:w="1275" w:type="dxa"/>
            <w:tcBorders>
              <w:top w:val="single" w:sz="4" w:space="0" w:color="9CC2E5"/>
              <w:left w:val="single" w:sz="4" w:space="0" w:color="9CC2E5"/>
              <w:bottom w:val="single" w:sz="4" w:space="0" w:color="9CC2E5"/>
              <w:right w:val="single" w:sz="4" w:space="0" w:color="auto"/>
            </w:tcBorders>
            <w:noWrap/>
            <w:hideMark/>
          </w:tcPr>
          <w:p w14:paraId="3DA6D7C0"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2</w:t>
            </w:r>
          </w:p>
        </w:tc>
      </w:tr>
      <w:tr w:rsidR="00452536" w14:paraId="567C66C0" w14:textId="77777777" w:rsidTr="00452536">
        <w:trPr>
          <w:trHeight w:val="540"/>
        </w:trPr>
        <w:tc>
          <w:tcPr>
            <w:tcW w:w="3964" w:type="dxa"/>
            <w:tcBorders>
              <w:top w:val="single" w:sz="4" w:space="0" w:color="9CC2E5"/>
              <w:left w:val="single" w:sz="4" w:space="0" w:color="auto"/>
              <w:bottom w:val="single" w:sz="4" w:space="0" w:color="9CC2E5"/>
              <w:right w:val="single" w:sz="4" w:space="0" w:color="9CC2E5"/>
            </w:tcBorders>
            <w:shd w:val="clear" w:color="auto" w:fill="FDE9D9" w:themeFill="accent6" w:themeFillTint="33"/>
            <w:hideMark/>
          </w:tcPr>
          <w:p w14:paraId="221AC11C" w14:textId="77777777" w:rsidR="00452536" w:rsidRPr="00F64E5D" w:rsidRDefault="00452536" w:rsidP="00D84178">
            <w:pPr>
              <w:spacing w:after="0" w:line="276" w:lineRule="auto"/>
              <w:rPr>
                <w:rFonts w:ascii="Verdana" w:eastAsia="Times New Roman" w:hAnsi="Verdana" w:cs="Calibri"/>
                <w:b/>
                <w:bCs/>
                <w:color w:val="000000"/>
                <w:szCs w:val="21"/>
                <w:lang w:eastAsia="en-GB"/>
              </w:rPr>
            </w:pPr>
            <w:r w:rsidRPr="00F64E5D">
              <w:rPr>
                <w:rFonts w:ascii="Verdana" w:eastAsia="Times New Roman" w:hAnsi="Verdana" w:cs="Calibri"/>
                <w:b/>
                <w:bCs/>
                <w:color w:val="000000"/>
                <w:szCs w:val="21"/>
                <w:lang w:eastAsia="en-GB"/>
              </w:rPr>
              <w:t xml:space="preserve">Evidencija o istupima u javnosti NPF </w:t>
            </w:r>
          </w:p>
        </w:tc>
        <w:tc>
          <w:tcPr>
            <w:tcW w:w="1276" w:type="dxa"/>
            <w:tcBorders>
              <w:top w:val="single" w:sz="4" w:space="0" w:color="9CC2E5"/>
              <w:left w:val="single" w:sz="4" w:space="0" w:color="9CC2E5"/>
              <w:bottom w:val="single" w:sz="4" w:space="0" w:color="9CC2E5"/>
              <w:right w:val="single" w:sz="4" w:space="0" w:color="9CC2E5"/>
            </w:tcBorders>
          </w:tcPr>
          <w:p w14:paraId="776F1E98" w14:textId="77777777" w:rsidR="00452536" w:rsidRPr="00F64E5D" w:rsidRDefault="00452536" w:rsidP="00D84178">
            <w:pPr>
              <w:spacing w:after="0" w:line="276" w:lineRule="auto"/>
              <w:jc w:val="right"/>
              <w:rPr>
                <w:rFonts w:ascii="Verdana" w:eastAsia="Times New Roman" w:hAnsi="Verdana" w:cs="Calibri"/>
                <w:color w:val="000000"/>
                <w:szCs w:val="21"/>
                <w:lang w:val="bs-Latn-BA" w:eastAsia="en-GB"/>
              </w:rPr>
            </w:pPr>
            <w:r w:rsidRPr="00F64E5D">
              <w:rPr>
                <w:rFonts w:ascii="Verdana" w:eastAsia="Times New Roman" w:hAnsi="Verdana" w:cs="Calibri"/>
                <w:color w:val="000000"/>
                <w:szCs w:val="21"/>
                <w:lang w:val="bs-Latn-BA" w:eastAsia="en-GB"/>
              </w:rPr>
              <w:t>111</w:t>
            </w:r>
          </w:p>
        </w:tc>
        <w:tc>
          <w:tcPr>
            <w:tcW w:w="1276" w:type="dxa"/>
            <w:tcBorders>
              <w:top w:val="single" w:sz="4" w:space="0" w:color="9CC2E5"/>
              <w:left w:val="single" w:sz="4" w:space="0" w:color="9CC2E5"/>
              <w:bottom w:val="single" w:sz="4" w:space="0" w:color="9CC2E5"/>
              <w:right w:val="single" w:sz="4" w:space="0" w:color="9CC2E5"/>
            </w:tcBorders>
          </w:tcPr>
          <w:p w14:paraId="7CF59BBC"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76</w:t>
            </w:r>
          </w:p>
          <w:p w14:paraId="75647880"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p>
        </w:tc>
        <w:tc>
          <w:tcPr>
            <w:tcW w:w="1276" w:type="dxa"/>
            <w:tcBorders>
              <w:top w:val="single" w:sz="4" w:space="0" w:color="9CC2E5"/>
              <w:left w:val="single" w:sz="4" w:space="0" w:color="9CC2E5"/>
              <w:bottom w:val="single" w:sz="4" w:space="0" w:color="9CC2E5"/>
              <w:right w:val="single" w:sz="4" w:space="0" w:color="9CC2E5"/>
            </w:tcBorders>
            <w:hideMark/>
          </w:tcPr>
          <w:p w14:paraId="2A6FB46C"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78</w:t>
            </w:r>
          </w:p>
        </w:tc>
        <w:tc>
          <w:tcPr>
            <w:tcW w:w="1275" w:type="dxa"/>
            <w:tcBorders>
              <w:top w:val="single" w:sz="4" w:space="0" w:color="9CC2E5"/>
              <w:left w:val="single" w:sz="4" w:space="0" w:color="9CC2E5"/>
              <w:bottom w:val="single" w:sz="4" w:space="0" w:color="9CC2E5"/>
              <w:right w:val="single" w:sz="4" w:space="0" w:color="auto"/>
            </w:tcBorders>
            <w:noWrap/>
            <w:hideMark/>
          </w:tcPr>
          <w:p w14:paraId="1A6958B2"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66</w:t>
            </w:r>
          </w:p>
        </w:tc>
      </w:tr>
      <w:tr w:rsidR="00452536" w14:paraId="62D0500F" w14:textId="77777777" w:rsidTr="00452536">
        <w:trPr>
          <w:trHeight w:val="703"/>
        </w:trPr>
        <w:tc>
          <w:tcPr>
            <w:tcW w:w="3964" w:type="dxa"/>
            <w:tcBorders>
              <w:top w:val="single" w:sz="4" w:space="0" w:color="9CC2E5"/>
              <w:left w:val="single" w:sz="4" w:space="0" w:color="auto"/>
              <w:bottom w:val="single" w:sz="4" w:space="0" w:color="9CC2E5"/>
              <w:right w:val="single" w:sz="4" w:space="0" w:color="9CC2E5"/>
            </w:tcBorders>
            <w:shd w:val="clear" w:color="auto" w:fill="FDE9D9" w:themeFill="accent6" w:themeFillTint="33"/>
            <w:hideMark/>
          </w:tcPr>
          <w:p w14:paraId="7D7EB587" w14:textId="77777777" w:rsidR="00452536" w:rsidRPr="00F64E5D" w:rsidRDefault="00452536" w:rsidP="00D84178">
            <w:pPr>
              <w:spacing w:after="0" w:line="276" w:lineRule="auto"/>
              <w:rPr>
                <w:rFonts w:ascii="Verdana" w:eastAsia="Times New Roman" w:hAnsi="Verdana" w:cs="Calibri"/>
                <w:b/>
                <w:bCs/>
                <w:color w:val="000000"/>
                <w:szCs w:val="21"/>
                <w:lang w:eastAsia="en-GB"/>
              </w:rPr>
            </w:pPr>
            <w:r w:rsidRPr="00F64E5D">
              <w:rPr>
                <w:rFonts w:ascii="Verdana" w:eastAsia="Times New Roman" w:hAnsi="Verdana" w:cs="Calibri"/>
                <w:b/>
                <w:bCs/>
                <w:color w:val="000000"/>
                <w:szCs w:val="21"/>
                <w:lang w:eastAsia="en-GB"/>
              </w:rPr>
              <w:t xml:space="preserve">Evidencija o prijavama i izrečenim disciplinskim mjerama protiv osoblja koje radi pod nadzorom NPF </w:t>
            </w:r>
          </w:p>
        </w:tc>
        <w:tc>
          <w:tcPr>
            <w:tcW w:w="1276" w:type="dxa"/>
            <w:tcBorders>
              <w:top w:val="single" w:sz="4" w:space="0" w:color="9CC2E5"/>
              <w:left w:val="single" w:sz="4" w:space="0" w:color="9CC2E5"/>
              <w:bottom w:val="single" w:sz="4" w:space="0" w:color="9CC2E5"/>
              <w:right w:val="single" w:sz="4" w:space="0" w:color="9CC2E5"/>
            </w:tcBorders>
          </w:tcPr>
          <w:p w14:paraId="0106FDD3"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10</w:t>
            </w:r>
          </w:p>
        </w:tc>
        <w:tc>
          <w:tcPr>
            <w:tcW w:w="1276" w:type="dxa"/>
            <w:tcBorders>
              <w:top w:val="single" w:sz="4" w:space="0" w:color="9CC2E5"/>
              <w:left w:val="single" w:sz="4" w:space="0" w:color="9CC2E5"/>
              <w:bottom w:val="single" w:sz="4" w:space="0" w:color="9CC2E5"/>
              <w:right w:val="single" w:sz="4" w:space="0" w:color="9CC2E5"/>
            </w:tcBorders>
            <w:hideMark/>
          </w:tcPr>
          <w:p w14:paraId="04442BD9"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8</w:t>
            </w:r>
          </w:p>
        </w:tc>
        <w:tc>
          <w:tcPr>
            <w:tcW w:w="1276" w:type="dxa"/>
            <w:tcBorders>
              <w:top w:val="single" w:sz="4" w:space="0" w:color="9CC2E5"/>
              <w:left w:val="single" w:sz="4" w:space="0" w:color="9CC2E5"/>
              <w:bottom w:val="single" w:sz="4" w:space="0" w:color="9CC2E5"/>
              <w:right w:val="single" w:sz="4" w:space="0" w:color="9CC2E5"/>
            </w:tcBorders>
            <w:hideMark/>
          </w:tcPr>
          <w:p w14:paraId="4652CD0B"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12</w:t>
            </w:r>
          </w:p>
        </w:tc>
        <w:tc>
          <w:tcPr>
            <w:tcW w:w="1275" w:type="dxa"/>
            <w:tcBorders>
              <w:top w:val="single" w:sz="4" w:space="0" w:color="9CC2E5"/>
              <w:left w:val="single" w:sz="4" w:space="0" w:color="9CC2E5"/>
              <w:bottom w:val="single" w:sz="4" w:space="0" w:color="9CC2E5"/>
              <w:right w:val="single" w:sz="4" w:space="0" w:color="auto"/>
            </w:tcBorders>
            <w:noWrap/>
            <w:hideMark/>
          </w:tcPr>
          <w:p w14:paraId="71910095"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eastAsia="en-GB"/>
              </w:rPr>
              <w:t>9</w:t>
            </w:r>
          </w:p>
        </w:tc>
      </w:tr>
      <w:tr w:rsidR="00452536" w14:paraId="529FB1F6" w14:textId="77777777" w:rsidTr="00452536">
        <w:trPr>
          <w:trHeight w:val="416"/>
        </w:trPr>
        <w:tc>
          <w:tcPr>
            <w:tcW w:w="3964" w:type="dxa"/>
            <w:tcBorders>
              <w:top w:val="single" w:sz="4" w:space="0" w:color="9CC2E5"/>
              <w:left w:val="single" w:sz="4" w:space="0" w:color="auto"/>
              <w:bottom w:val="single" w:sz="4" w:space="0" w:color="9CC2E5"/>
              <w:right w:val="single" w:sz="4" w:space="0" w:color="9CC2E5"/>
            </w:tcBorders>
            <w:shd w:val="clear" w:color="auto" w:fill="FDE9D9" w:themeFill="accent6" w:themeFillTint="33"/>
            <w:hideMark/>
          </w:tcPr>
          <w:p w14:paraId="6C9C3A12" w14:textId="77777777" w:rsidR="00452536" w:rsidRPr="00F64E5D" w:rsidRDefault="00452536" w:rsidP="00D84178">
            <w:pPr>
              <w:spacing w:after="0" w:line="276" w:lineRule="auto"/>
              <w:rPr>
                <w:rFonts w:ascii="Verdana" w:eastAsia="Times New Roman" w:hAnsi="Verdana" w:cs="Calibri"/>
                <w:b/>
                <w:bCs/>
                <w:color w:val="000000"/>
                <w:szCs w:val="21"/>
                <w:lang w:eastAsia="en-GB"/>
              </w:rPr>
            </w:pPr>
            <w:r w:rsidRPr="00F64E5D">
              <w:rPr>
                <w:rFonts w:ascii="Verdana" w:eastAsia="Times New Roman" w:hAnsi="Verdana" w:cs="Calibri"/>
                <w:b/>
                <w:bCs/>
                <w:color w:val="000000"/>
                <w:szCs w:val="21"/>
                <w:lang w:eastAsia="en-GB"/>
              </w:rPr>
              <w:t xml:space="preserve">Evidencija o izuzećima NPF </w:t>
            </w:r>
          </w:p>
        </w:tc>
        <w:tc>
          <w:tcPr>
            <w:tcW w:w="1276" w:type="dxa"/>
            <w:tcBorders>
              <w:top w:val="single" w:sz="4" w:space="0" w:color="9CC2E5"/>
              <w:left w:val="single" w:sz="4" w:space="0" w:color="9CC2E5"/>
              <w:bottom w:val="single" w:sz="4" w:space="0" w:color="9CC2E5"/>
              <w:right w:val="single" w:sz="4" w:space="0" w:color="9CC2E5"/>
            </w:tcBorders>
          </w:tcPr>
          <w:p w14:paraId="406CB096" w14:textId="1940A4B6" w:rsidR="00452536" w:rsidRPr="00F64E5D" w:rsidRDefault="00452536" w:rsidP="00D84178">
            <w:pPr>
              <w:spacing w:after="0" w:line="276" w:lineRule="auto"/>
              <w:jc w:val="right"/>
              <w:rPr>
                <w:rFonts w:ascii="Verdana" w:eastAsia="Times New Roman" w:hAnsi="Verdana" w:cs="Calibri"/>
                <w:color w:val="000000"/>
                <w:szCs w:val="21"/>
                <w:lang w:val="hr-HR" w:eastAsia="en-GB"/>
              </w:rPr>
            </w:pPr>
            <w:r w:rsidRPr="00F64E5D">
              <w:rPr>
                <w:rFonts w:ascii="Verdana" w:eastAsia="Times New Roman" w:hAnsi="Verdana" w:cs="Calibri"/>
                <w:color w:val="000000"/>
                <w:szCs w:val="21"/>
                <w:lang w:val="hr-HR" w:eastAsia="en-GB"/>
              </w:rPr>
              <w:t>1</w:t>
            </w:r>
            <w:r w:rsidR="00F64E5D">
              <w:rPr>
                <w:rFonts w:ascii="Verdana" w:eastAsia="Times New Roman" w:hAnsi="Verdana" w:cs="Calibri"/>
                <w:color w:val="000000"/>
                <w:szCs w:val="21"/>
                <w:lang w:val="hr-HR" w:eastAsia="en-GB"/>
              </w:rPr>
              <w:t>.</w:t>
            </w:r>
            <w:r w:rsidRPr="00F64E5D">
              <w:rPr>
                <w:rFonts w:ascii="Verdana" w:eastAsia="Times New Roman" w:hAnsi="Verdana" w:cs="Calibri"/>
                <w:color w:val="000000"/>
                <w:szCs w:val="21"/>
                <w:lang w:val="hr-HR" w:eastAsia="en-GB"/>
              </w:rPr>
              <w:t>981</w:t>
            </w:r>
          </w:p>
        </w:tc>
        <w:tc>
          <w:tcPr>
            <w:tcW w:w="1276" w:type="dxa"/>
            <w:tcBorders>
              <w:top w:val="single" w:sz="4" w:space="0" w:color="9CC2E5"/>
              <w:left w:val="single" w:sz="4" w:space="0" w:color="9CC2E5"/>
              <w:bottom w:val="single" w:sz="4" w:space="0" w:color="9CC2E5"/>
              <w:right w:val="single" w:sz="4" w:space="0" w:color="9CC2E5"/>
            </w:tcBorders>
            <w:hideMark/>
          </w:tcPr>
          <w:p w14:paraId="24BF41A3" w14:textId="79B9BDC2" w:rsidR="00452536" w:rsidRPr="00F64E5D" w:rsidRDefault="00452536" w:rsidP="00D84178">
            <w:pPr>
              <w:spacing w:after="0" w:line="276" w:lineRule="auto"/>
              <w:jc w:val="right"/>
              <w:rPr>
                <w:rFonts w:ascii="Verdana" w:eastAsia="Times New Roman" w:hAnsi="Verdana" w:cs="Calibri"/>
                <w:color w:val="000000"/>
                <w:szCs w:val="21"/>
                <w:lang w:val="hr-HR" w:eastAsia="en-GB"/>
              </w:rPr>
            </w:pPr>
            <w:r w:rsidRPr="00F64E5D">
              <w:rPr>
                <w:rFonts w:ascii="Verdana" w:eastAsia="Times New Roman" w:hAnsi="Verdana" w:cs="Calibri"/>
                <w:color w:val="000000"/>
                <w:szCs w:val="21"/>
                <w:lang w:val="hr-HR" w:eastAsia="en-GB"/>
              </w:rPr>
              <w:t xml:space="preserve"> 1</w:t>
            </w:r>
            <w:r w:rsidR="00F64E5D">
              <w:rPr>
                <w:rFonts w:ascii="Verdana" w:eastAsia="Times New Roman" w:hAnsi="Verdana" w:cs="Calibri"/>
                <w:color w:val="000000"/>
                <w:szCs w:val="21"/>
                <w:lang w:val="hr-HR" w:eastAsia="en-GB"/>
              </w:rPr>
              <w:t>.</w:t>
            </w:r>
            <w:r w:rsidRPr="00F64E5D">
              <w:rPr>
                <w:rFonts w:ascii="Verdana" w:eastAsia="Times New Roman" w:hAnsi="Verdana" w:cs="Calibri"/>
                <w:color w:val="000000"/>
                <w:szCs w:val="21"/>
                <w:lang w:val="hr-HR" w:eastAsia="en-GB"/>
              </w:rPr>
              <w:t>899</w:t>
            </w:r>
          </w:p>
        </w:tc>
        <w:tc>
          <w:tcPr>
            <w:tcW w:w="1276" w:type="dxa"/>
            <w:tcBorders>
              <w:top w:val="single" w:sz="4" w:space="0" w:color="9CC2E5"/>
              <w:left w:val="single" w:sz="4" w:space="0" w:color="9CC2E5"/>
              <w:bottom w:val="single" w:sz="4" w:space="0" w:color="9CC2E5"/>
              <w:right w:val="single" w:sz="4" w:space="0" w:color="9CC2E5"/>
            </w:tcBorders>
            <w:hideMark/>
          </w:tcPr>
          <w:p w14:paraId="5845C735" w14:textId="77777777" w:rsidR="00452536" w:rsidRPr="00F64E5D" w:rsidRDefault="00452536" w:rsidP="00D84178">
            <w:pPr>
              <w:spacing w:after="0" w:line="276" w:lineRule="auto"/>
              <w:jc w:val="right"/>
              <w:rPr>
                <w:rFonts w:ascii="Verdana" w:eastAsia="Times New Roman" w:hAnsi="Verdana" w:cs="Calibri"/>
                <w:color w:val="000000"/>
                <w:szCs w:val="21"/>
                <w:lang w:val="hr-HR" w:eastAsia="en-GB"/>
              </w:rPr>
            </w:pPr>
            <w:r w:rsidRPr="00F64E5D">
              <w:rPr>
                <w:rFonts w:ascii="Verdana" w:eastAsia="Times New Roman" w:hAnsi="Verdana" w:cs="Calibri"/>
                <w:color w:val="000000"/>
                <w:szCs w:val="21"/>
                <w:lang w:val="hr-HR" w:eastAsia="en-GB"/>
              </w:rPr>
              <w:t>1.550</w:t>
            </w:r>
          </w:p>
        </w:tc>
        <w:tc>
          <w:tcPr>
            <w:tcW w:w="1275" w:type="dxa"/>
            <w:tcBorders>
              <w:top w:val="single" w:sz="4" w:space="0" w:color="9CC2E5"/>
              <w:left w:val="single" w:sz="4" w:space="0" w:color="9CC2E5"/>
              <w:bottom w:val="single" w:sz="4" w:space="0" w:color="9CC2E5"/>
              <w:right w:val="single" w:sz="4" w:space="0" w:color="auto"/>
            </w:tcBorders>
            <w:noWrap/>
            <w:hideMark/>
          </w:tcPr>
          <w:p w14:paraId="07F8108D" w14:textId="77777777" w:rsidR="00452536" w:rsidRPr="00F64E5D" w:rsidRDefault="00452536" w:rsidP="00D84178">
            <w:pPr>
              <w:spacing w:after="0" w:line="276" w:lineRule="auto"/>
              <w:jc w:val="right"/>
              <w:rPr>
                <w:rFonts w:ascii="Verdana" w:eastAsia="Times New Roman" w:hAnsi="Verdana" w:cs="Calibri"/>
                <w:color w:val="000000"/>
                <w:szCs w:val="21"/>
                <w:lang w:eastAsia="en-GB"/>
              </w:rPr>
            </w:pPr>
            <w:r w:rsidRPr="00F64E5D">
              <w:rPr>
                <w:rFonts w:ascii="Verdana" w:eastAsia="Times New Roman" w:hAnsi="Verdana" w:cs="Calibri"/>
                <w:color w:val="000000"/>
                <w:szCs w:val="21"/>
                <w:lang w:val="hr-HR" w:eastAsia="en-GB"/>
              </w:rPr>
              <w:t>1.518</w:t>
            </w:r>
          </w:p>
        </w:tc>
      </w:tr>
      <w:tr w:rsidR="00452536" w14:paraId="41936911" w14:textId="77777777" w:rsidTr="00452536">
        <w:trPr>
          <w:trHeight w:val="320"/>
        </w:trPr>
        <w:tc>
          <w:tcPr>
            <w:tcW w:w="3964" w:type="dxa"/>
            <w:tcBorders>
              <w:top w:val="single" w:sz="4" w:space="0" w:color="9CC2E5"/>
              <w:left w:val="single" w:sz="4" w:space="0" w:color="auto"/>
              <w:bottom w:val="single" w:sz="4" w:space="0" w:color="auto"/>
              <w:right w:val="single" w:sz="4" w:space="0" w:color="9CC2E5"/>
            </w:tcBorders>
            <w:shd w:val="clear" w:color="auto" w:fill="DAEEF3" w:themeFill="accent5" w:themeFillTint="33"/>
            <w:hideMark/>
          </w:tcPr>
          <w:p w14:paraId="537B01CF" w14:textId="77777777" w:rsidR="00452536" w:rsidRPr="00F64E5D" w:rsidRDefault="00452536" w:rsidP="00D84178">
            <w:pPr>
              <w:spacing w:after="0" w:line="276" w:lineRule="auto"/>
              <w:rPr>
                <w:rFonts w:ascii="Verdana" w:eastAsia="Times New Roman" w:hAnsi="Verdana" w:cs="Calibri"/>
                <w:b/>
                <w:bCs/>
                <w:color w:val="000000"/>
                <w:szCs w:val="21"/>
                <w:lang w:eastAsia="en-GB"/>
              </w:rPr>
            </w:pPr>
            <w:r w:rsidRPr="00F64E5D">
              <w:rPr>
                <w:rFonts w:ascii="Verdana" w:eastAsia="Times New Roman" w:hAnsi="Verdana" w:cs="Calibri"/>
                <w:b/>
                <w:bCs/>
                <w:color w:val="000000"/>
                <w:szCs w:val="21"/>
                <w:lang w:eastAsia="en-GB"/>
              </w:rPr>
              <w:t>UKUPNO</w:t>
            </w:r>
          </w:p>
        </w:tc>
        <w:tc>
          <w:tcPr>
            <w:tcW w:w="1276" w:type="dxa"/>
            <w:tcBorders>
              <w:top w:val="single" w:sz="4" w:space="0" w:color="9CC2E5"/>
              <w:left w:val="single" w:sz="4" w:space="0" w:color="9CC2E5"/>
              <w:bottom w:val="single" w:sz="4" w:space="0" w:color="auto"/>
              <w:right w:val="single" w:sz="4" w:space="0" w:color="9CC2E5"/>
            </w:tcBorders>
            <w:shd w:val="clear" w:color="auto" w:fill="DAEEF3" w:themeFill="accent5" w:themeFillTint="33"/>
          </w:tcPr>
          <w:p w14:paraId="31013B11" w14:textId="77777777" w:rsidR="00452536" w:rsidRPr="00F64E5D" w:rsidRDefault="00452536" w:rsidP="00D84178">
            <w:pPr>
              <w:spacing w:after="0" w:line="276" w:lineRule="auto"/>
              <w:jc w:val="right"/>
              <w:rPr>
                <w:rFonts w:ascii="Verdana" w:eastAsia="Times New Roman" w:hAnsi="Verdana" w:cs="Calibri"/>
                <w:b/>
                <w:bCs/>
                <w:color w:val="000000"/>
                <w:szCs w:val="21"/>
                <w:lang w:val="bs-Latn-BA" w:eastAsia="en-GB"/>
              </w:rPr>
            </w:pPr>
            <w:r w:rsidRPr="00F64E5D">
              <w:rPr>
                <w:rFonts w:ascii="Verdana" w:eastAsia="Times New Roman" w:hAnsi="Verdana" w:cs="Calibri"/>
                <w:b/>
                <w:bCs/>
                <w:color w:val="000000"/>
                <w:szCs w:val="21"/>
                <w:lang w:val="bs-Latn-BA" w:eastAsia="en-GB"/>
              </w:rPr>
              <w:t>2</w:t>
            </w:r>
            <w:r w:rsidR="00013A48" w:rsidRPr="00F64E5D">
              <w:rPr>
                <w:rFonts w:ascii="Verdana" w:eastAsia="Times New Roman" w:hAnsi="Verdana" w:cs="Calibri"/>
                <w:b/>
                <w:bCs/>
                <w:color w:val="000000"/>
                <w:szCs w:val="21"/>
                <w:lang w:val="bs-Latn-BA" w:eastAsia="en-GB"/>
              </w:rPr>
              <w:t>.</w:t>
            </w:r>
            <w:r w:rsidRPr="00F64E5D">
              <w:rPr>
                <w:rFonts w:ascii="Verdana" w:eastAsia="Times New Roman" w:hAnsi="Verdana" w:cs="Calibri"/>
                <w:b/>
                <w:bCs/>
                <w:color w:val="000000"/>
                <w:szCs w:val="21"/>
                <w:lang w:val="bs-Latn-BA" w:eastAsia="en-GB"/>
              </w:rPr>
              <w:t>549</w:t>
            </w:r>
          </w:p>
        </w:tc>
        <w:tc>
          <w:tcPr>
            <w:tcW w:w="1276" w:type="dxa"/>
            <w:tcBorders>
              <w:top w:val="single" w:sz="4" w:space="0" w:color="9CC2E5"/>
              <w:left w:val="single" w:sz="4" w:space="0" w:color="9CC2E5"/>
              <w:bottom w:val="single" w:sz="4" w:space="0" w:color="auto"/>
              <w:right w:val="single" w:sz="4" w:space="0" w:color="9CC2E5"/>
            </w:tcBorders>
            <w:shd w:val="clear" w:color="auto" w:fill="DAEEF3" w:themeFill="accent5" w:themeFillTint="33"/>
            <w:hideMark/>
          </w:tcPr>
          <w:p w14:paraId="1743BEFD" w14:textId="77777777" w:rsidR="00452536" w:rsidRPr="00F64E5D" w:rsidRDefault="00452536" w:rsidP="00D84178">
            <w:pPr>
              <w:spacing w:after="0" w:line="276" w:lineRule="auto"/>
              <w:jc w:val="right"/>
              <w:rPr>
                <w:rFonts w:ascii="Verdana" w:eastAsia="Times New Roman" w:hAnsi="Verdana" w:cs="Calibri"/>
                <w:b/>
                <w:bCs/>
                <w:color w:val="000000"/>
                <w:szCs w:val="21"/>
                <w:lang w:eastAsia="en-GB"/>
              </w:rPr>
            </w:pPr>
            <w:r w:rsidRPr="00F64E5D">
              <w:rPr>
                <w:rFonts w:ascii="Verdana" w:eastAsia="Times New Roman" w:hAnsi="Verdana" w:cs="Calibri"/>
                <w:b/>
                <w:bCs/>
                <w:color w:val="000000"/>
                <w:szCs w:val="21"/>
                <w:lang w:eastAsia="en-GB"/>
              </w:rPr>
              <w:t>2.441</w:t>
            </w:r>
          </w:p>
        </w:tc>
        <w:tc>
          <w:tcPr>
            <w:tcW w:w="1276" w:type="dxa"/>
            <w:tcBorders>
              <w:top w:val="single" w:sz="4" w:space="0" w:color="9CC2E5"/>
              <w:left w:val="single" w:sz="4" w:space="0" w:color="9CC2E5"/>
              <w:bottom w:val="single" w:sz="4" w:space="0" w:color="auto"/>
              <w:right w:val="single" w:sz="4" w:space="0" w:color="9CC2E5"/>
            </w:tcBorders>
            <w:shd w:val="clear" w:color="auto" w:fill="DAEEF3" w:themeFill="accent5" w:themeFillTint="33"/>
            <w:noWrap/>
            <w:hideMark/>
          </w:tcPr>
          <w:p w14:paraId="1D02B226" w14:textId="77777777" w:rsidR="00452536" w:rsidRPr="00F64E5D" w:rsidRDefault="00452536" w:rsidP="00D84178">
            <w:pPr>
              <w:spacing w:after="0" w:line="276" w:lineRule="auto"/>
              <w:jc w:val="right"/>
              <w:rPr>
                <w:rFonts w:ascii="Verdana" w:eastAsia="Times New Roman" w:hAnsi="Verdana" w:cs="Calibri"/>
                <w:b/>
                <w:bCs/>
                <w:color w:val="000000"/>
                <w:szCs w:val="21"/>
                <w:lang w:eastAsia="en-GB"/>
              </w:rPr>
            </w:pPr>
            <w:r w:rsidRPr="00F64E5D">
              <w:rPr>
                <w:rFonts w:ascii="Verdana" w:eastAsia="Times New Roman" w:hAnsi="Verdana" w:cs="Calibri"/>
                <w:b/>
                <w:bCs/>
                <w:color w:val="000000"/>
                <w:szCs w:val="21"/>
                <w:lang w:eastAsia="en-GB"/>
              </w:rPr>
              <w:t>2.039</w:t>
            </w:r>
          </w:p>
        </w:tc>
        <w:tc>
          <w:tcPr>
            <w:tcW w:w="1275" w:type="dxa"/>
            <w:tcBorders>
              <w:top w:val="single" w:sz="4" w:space="0" w:color="9CC2E5"/>
              <w:left w:val="single" w:sz="4" w:space="0" w:color="9CC2E5"/>
              <w:bottom w:val="single" w:sz="4" w:space="0" w:color="auto"/>
              <w:right w:val="single" w:sz="4" w:space="0" w:color="auto"/>
            </w:tcBorders>
            <w:shd w:val="clear" w:color="auto" w:fill="DAEEF3" w:themeFill="accent5" w:themeFillTint="33"/>
            <w:noWrap/>
            <w:hideMark/>
          </w:tcPr>
          <w:p w14:paraId="0B79252A" w14:textId="77777777" w:rsidR="00452536" w:rsidRPr="00F64E5D" w:rsidRDefault="00452536" w:rsidP="00D84178">
            <w:pPr>
              <w:spacing w:after="0" w:line="276" w:lineRule="auto"/>
              <w:jc w:val="right"/>
              <w:rPr>
                <w:rFonts w:ascii="Verdana" w:eastAsia="Times New Roman" w:hAnsi="Verdana" w:cs="Calibri"/>
                <w:b/>
                <w:bCs/>
                <w:color w:val="000000"/>
                <w:szCs w:val="21"/>
                <w:lang w:eastAsia="en-GB"/>
              </w:rPr>
            </w:pPr>
            <w:r w:rsidRPr="00F64E5D">
              <w:rPr>
                <w:rFonts w:ascii="Verdana" w:eastAsia="Times New Roman" w:hAnsi="Verdana" w:cs="Calibri"/>
                <w:b/>
                <w:bCs/>
                <w:color w:val="000000"/>
                <w:szCs w:val="21"/>
                <w:lang w:eastAsia="en-GB"/>
              </w:rPr>
              <w:t>2</w:t>
            </w:r>
            <w:r w:rsidRPr="00F64E5D">
              <w:rPr>
                <w:rFonts w:ascii="Verdana" w:eastAsia="Times New Roman" w:hAnsi="Verdana" w:cs="Calibri"/>
                <w:b/>
                <w:bCs/>
                <w:color w:val="000000"/>
                <w:szCs w:val="21"/>
                <w:lang w:val="hr-HR" w:eastAsia="en-GB"/>
              </w:rPr>
              <w:t>.</w:t>
            </w:r>
            <w:r w:rsidRPr="00F64E5D">
              <w:rPr>
                <w:rFonts w:ascii="Verdana" w:eastAsia="Times New Roman" w:hAnsi="Verdana" w:cs="Calibri"/>
                <w:b/>
                <w:bCs/>
                <w:color w:val="000000"/>
                <w:szCs w:val="21"/>
                <w:lang w:eastAsia="en-GB"/>
              </w:rPr>
              <w:t>217</w:t>
            </w:r>
          </w:p>
        </w:tc>
      </w:tr>
    </w:tbl>
    <w:p w14:paraId="4F327C7A" w14:textId="77777777" w:rsidR="00452536" w:rsidRPr="00013A48" w:rsidRDefault="00452536" w:rsidP="00D84178">
      <w:pPr>
        <w:spacing w:line="276" w:lineRule="auto"/>
        <w:jc w:val="both"/>
        <w:rPr>
          <w:rFonts w:asciiTheme="majorHAnsi" w:eastAsiaTheme="minorEastAsia" w:hAnsiTheme="majorHAnsi"/>
          <w:bCs/>
          <w:smallCaps/>
          <w:color w:val="1F497D" w:themeColor="text2"/>
          <w:spacing w:val="6"/>
          <w:sz w:val="22"/>
          <w:szCs w:val="18"/>
          <w:lang w:val="bs-Latn-BA"/>
        </w:rPr>
      </w:pPr>
      <w:r w:rsidRPr="00013A48">
        <w:rPr>
          <w:rFonts w:asciiTheme="majorHAnsi" w:eastAsiaTheme="minorEastAsia" w:hAnsiTheme="majorHAnsi"/>
          <w:bCs/>
          <w:smallCaps/>
          <w:color w:val="1F497D" w:themeColor="text2"/>
          <w:spacing w:val="6"/>
          <w:sz w:val="22"/>
          <w:szCs w:val="18"/>
          <w:lang w:val="bs-Latn-BA"/>
        </w:rPr>
        <w:t>Tabela: Prikaz dostavljenih podataka za period od 2022. do 2025.</w:t>
      </w:r>
      <w:r w:rsidR="00013A48">
        <w:rPr>
          <w:rFonts w:asciiTheme="majorHAnsi" w:eastAsiaTheme="minorEastAsia" w:hAnsiTheme="majorHAnsi"/>
          <w:bCs/>
          <w:smallCaps/>
          <w:color w:val="1F497D" w:themeColor="text2"/>
          <w:spacing w:val="6"/>
          <w:sz w:val="22"/>
          <w:szCs w:val="18"/>
          <w:lang w:val="bs-Latn-BA"/>
        </w:rPr>
        <w:t xml:space="preserve"> godine</w:t>
      </w:r>
    </w:p>
    <w:p w14:paraId="5EDE4336" w14:textId="77777777" w:rsidR="00013A48" w:rsidRDefault="00013A48" w:rsidP="00D84178">
      <w:pPr>
        <w:pStyle w:val="Heading3"/>
        <w:spacing w:line="276" w:lineRule="auto"/>
        <w:rPr>
          <w:rFonts w:ascii="Verdana" w:hAnsi="Verdana" w:cstheme="minorHAnsi"/>
          <w:b/>
          <w:bCs w:val="0"/>
          <w:sz w:val="22"/>
          <w:lang w:val="hr-HR"/>
        </w:rPr>
      </w:pPr>
    </w:p>
    <w:p w14:paraId="0FC5683B" w14:textId="77777777" w:rsidR="005055E6" w:rsidRPr="00921582" w:rsidRDefault="00EC3346" w:rsidP="00D84178">
      <w:pPr>
        <w:pStyle w:val="Heading3"/>
        <w:spacing w:line="276" w:lineRule="auto"/>
        <w:rPr>
          <w:lang w:val="hr-HR"/>
        </w:rPr>
      </w:pPr>
      <w:bookmarkStart w:id="5" w:name="_Toc229748330"/>
      <w:r w:rsidRPr="00921582">
        <w:rPr>
          <w:lang w:val="hr-HR"/>
        </w:rPr>
        <w:t xml:space="preserve">1.1 </w:t>
      </w:r>
      <w:r w:rsidR="00E805D0" w:rsidRPr="00921582">
        <w:rPr>
          <w:lang w:val="hr-HR"/>
        </w:rPr>
        <w:t xml:space="preserve">Evidencija o </w:t>
      </w:r>
      <w:r w:rsidR="00E805D0" w:rsidRPr="003F7EDC">
        <w:t>izuzećima</w:t>
      </w:r>
      <w:r w:rsidR="00837BBC" w:rsidRPr="00921582">
        <w:rPr>
          <w:lang w:val="hr-HR"/>
        </w:rPr>
        <w:t xml:space="preserve"> NPF</w:t>
      </w:r>
      <w:bookmarkEnd w:id="5"/>
    </w:p>
    <w:p w14:paraId="233C4B58" w14:textId="77777777" w:rsidR="00E6174F" w:rsidRPr="00E6174F" w:rsidRDefault="00E6174F" w:rsidP="00D84178">
      <w:pPr>
        <w:spacing w:line="276" w:lineRule="auto"/>
        <w:rPr>
          <w:lang w:val="hr-HR"/>
        </w:rPr>
      </w:pPr>
    </w:p>
    <w:p w14:paraId="5B233360" w14:textId="77777777" w:rsidR="00A234C8" w:rsidRDefault="00A234C8" w:rsidP="00D84178">
      <w:pPr>
        <w:spacing w:line="276" w:lineRule="auto"/>
        <w:jc w:val="both"/>
        <w:rPr>
          <w:rFonts w:ascii="Verdana" w:hAnsi="Verdana"/>
          <w:sz w:val="20"/>
          <w:szCs w:val="20"/>
          <w:lang w:val="hr-HR"/>
        </w:rPr>
      </w:pPr>
      <w:r w:rsidRPr="0024688B">
        <w:rPr>
          <w:rFonts w:ascii="Verdana" w:hAnsi="Verdana"/>
          <w:sz w:val="20"/>
          <w:szCs w:val="20"/>
          <w:lang w:val="hr-HR"/>
        </w:rPr>
        <w:t>Smjernice podsjećaju na zakonske osnove za izuzeće nosilaca pravosudnih funkcija, ali istovremeno ističu i dodatne etičke razloge zbog</w:t>
      </w:r>
      <w:r w:rsidR="002E7D4D">
        <w:rPr>
          <w:rFonts w:ascii="Verdana" w:hAnsi="Verdana"/>
          <w:sz w:val="20"/>
          <w:szCs w:val="20"/>
          <w:lang w:val="hr-HR"/>
        </w:rPr>
        <w:t xml:space="preserve"> kojih se izuzeće može tražiti</w:t>
      </w:r>
      <w:r w:rsidRPr="0024688B">
        <w:rPr>
          <w:rFonts w:ascii="Verdana" w:hAnsi="Verdana"/>
          <w:sz w:val="20"/>
          <w:szCs w:val="20"/>
          <w:lang w:val="hr-HR"/>
        </w:rPr>
        <w:t xml:space="preserve"> s ciljem sprečavanja sukoba interesa i očuvanja nepristra</w:t>
      </w:r>
      <w:r w:rsidR="00BB6661">
        <w:rPr>
          <w:rFonts w:ascii="Verdana" w:hAnsi="Verdana"/>
          <w:sz w:val="20"/>
          <w:szCs w:val="20"/>
          <w:lang w:val="hr-HR"/>
        </w:rPr>
        <w:t xml:space="preserve">nosti u njihovom postupanju, te takođe podsjećaju na obavezu NPF da sami traže svoje izuzeće kada za to postoje zakonski i etički razlozi. </w:t>
      </w:r>
    </w:p>
    <w:p w14:paraId="7076E3DB" w14:textId="77777777" w:rsidR="008B369B" w:rsidRPr="00125892" w:rsidRDefault="008B369B" w:rsidP="00D84178">
      <w:pPr>
        <w:spacing w:line="276" w:lineRule="auto"/>
        <w:jc w:val="both"/>
        <w:rPr>
          <w:rFonts w:ascii="Verdana" w:hAnsi="Verdana"/>
          <w:sz w:val="20"/>
          <w:szCs w:val="20"/>
          <w:lang w:val="hr-HR"/>
        </w:rPr>
      </w:pPr>
      <w:r w:rsidRPr="00125892">
        <w:rPr>
          <w:rFonts w:ascii="Verdana" w:hAnsi="Verdana"/>
          <w:sz w:val="20"/>
          <w:szCs w:val="20"/>
          <w:lang w:val="hr-HR"/>
        </w:rPr>
        <w:t>Prema podacima dostavljenim od strane pravosudnih institucija, u toku 202</w:t>
      </w:r>
      <w:r w:rsidR="00FA11BE" w:rsidRPr="00125892">
        <w:rPr>
          <w:rFonts w:ascii="Verdana" w:hAnsi="Verdana"/>
          <w:sz w:val="20"/>
          <w:szCs w:val="20"/>
          <w:lang w:val="hr-HR"/>
        </w:rPr>
        <w:t>5</w:t>
      </w:r>
      <w:r w:rsidRPr="00125892">
        <w:rPr>
          <w:rFonts w:ascii="Verdana" w:hAnsi="Verdana"/>
          <w:sz w:val="20"/>
          <w:szCs w:val="20"/>
          <w:lang w:val="hr-HR"/>
        </w:rPr>
        <w:t xml:space="preserve">. godine zahtjeve za izuzećem evidentiralo je ukupno </w:t>
      </w:r>
      <w:r w:rsidR="00FA11BE" w:rsidRPr="00125892">
        <w:rPr>
          <w:rFonts w:ascii="Verdana" w:hAnsi="Verdana"/>
          <w:sz w:val="20"/>
          <w:szCs w:val="20"/>
          <w:lang w:val="hr-HR"/>
        </w:rPr>
        <w:t>98</w:t>
      </w:r>
      <w:r w:rsidRPr="00125892">
        <w:rPr>
          <w:rFonts w:ascii="Verdana" w:hAnsi="Verdana"/>
          <w:b/>
          <w:sz w:val="20"/>
          <w:szCs w:val="20"/>
          <w:lang w:val="hr-HR"/>
        </w:rPr>
        <w:t xml:space="preserve"> </w:t>
      </w:r>
      <w:r w:rsidRPr="00125892">
        <w:rPr>
          <w:rFonts w:ascii="Verdana" w:hAnsi="Verdana"/>
          <w:sz w:val="20"/>
          <w:szCs w:val="20"/>
          <w:lang w:val="hr-HR"/>
        </w:rPr>
        <w:t>pravosudnih institucija.</w:t>
      </w:r>
    </w:p>
    <w:p w14:paraId="1C103DAD" w14:textId="77777777" w:rsidR="003B321C" w:rsidRDefault="003704D5" w:rsidP="00D84178">
      <w:pPr>
        <w:spacing w:line="276" w:lineRule="auto"/>
        <w:jc w:val="both"/>
        <w:rPr>
          <w:rFonts w:ascii="Verdana" w:hAnsi="Verdana"/>
          <w:sz w:val="20"/>
          <w:szCs w:val="20"/>
          <w:lang w:val="hr-HR"/>
        </w:rPr>
      </w:pPr>
      <w:r w:rsidRPr="0024688B">
        <w:rPr>
          <w:rFonts w:ascii="Verdana" w:hAnsi="Verdana"/>
          <w:sz w:val="20"/>
          <w:szCs w:val="20"/>
          <w:lang w:val="hr-HR"/>
        </w:rPr>
        <w:t>U toku 202</w:t>
      </w:r>
      <w:r w:rsidR="003B321C">
        <w:rPr>
          <w:rFonts w:ascii="Verdana" w:hAnsi="Verdana"/>
          <w:sz w:val="20"/>
          <w:szCs w:val="20"/>
          <w:lang w:val="hr-HR"/>
        </w:rPr>
        <w:t>5</w:t>
      </w:r>
      <w:r w:rsidRPr="0024688B">
        <w:rPr>
          <w:rFonts w:ascii="Verdana" w:hAnsi="Verdana"/>
          <w:sz w:val="20"/>
          <w:szCs w:val="20"/>
          <w:lang w:val="hr-HR"/>
        </w:rPr>
        <w:t xml:space="preserve">. </w:t>
      </w:r>
      <w:r w:rsidR="00E94CA1">
        <w:rPr>
          <w:rFonts w:ascii="Verdana" w:hAnsi="Verdana"/>
          <w:sz w:val="20"/>
          <w:szCs w:val="20"/>
          <w:lang w:val="hr-HR"/>
        </w:rPr>
        <w:t>godine evidentirano je ukupno 1</w:t>
      </w:r>
      <w:r w:rsidR="008B369B">
        <w:rPr>
          <w:rFonts w:ascii="Verdana" w:hAnsi="Verdana"/>
          <w:sz w:val="20"/>
          <w:szCs w:val="20"/>
          <w:lang w:val="hr-HR"/>
        </w:rPr>
        <w:t>981 zahtjeva za izuzeće</w:t>
      </w:r>
      <w:r w:rsidR="003B321C">
        <w:rPr>
          <w:rFonts w:ascii="Verdana" w:hAnsi="Verdana"/>
          <w:sz w:val="20"/>
          <w:szCs w:val="20"/>
          <w:lang w:val="hr-HR"/>
        </w:rPr>
        <w:t xml:space="preserve"> NPF od čega je </w:t>
      </w:r>
      <w:r w:rsidR="00DC7177">
        <w:rPr>
          <w:rFonts w:ascii="Verdana" w:hAnsi="Verdana"/>
          <w:sz w:val="20"/>
          <w:szCs w:val="20"/>
          <w:lang w:val="hr-HR"/>
        </w:rPr>
        <w:t xml:space="preserve">prema dostavljenim evidencijama </w:t>
      </w:r>
      <w:r w:rsidR="003B321C">
        <w:rPr>
          <w:rFonts w:ascii="Verdana" w:hAnsi="Verdana"/>
          <w:sz w:val="20"/>
          <w:szCs w:val="20"/>
          <w:lang w:val="hr-HR"/>
        </w:rPr>
        <w:t>njih 1224. podneseno od strane NPF</w:t>
      </w:r>
      <w:r w:rsidR="00DC7177">
        <w:rPr>
          <w:rFonts w:ascii="Verdana" w:hAnsi="Verdana"/>
          <w:sz w:val="20"/>
          <w:szCs w:val="20"/>
          <w:lang w:val="hr-HR"/>
        </w:rPr>
        <w:t>, dok podatke za 4 pravosudne ins</w:t>
      </w:r>
      <w:r w:rsidR="00555CA3">
        <w:rPr>
          <w:rFonts w:ascii="Verdana" w:hAnsi="Verdana"/>
          <w:sz w:val="20"/>
          <w:szCs w:val="20"/>
          <w:lang w:val="hr-HR"/>
        </w:rPr>
        <w:t>t</w:t>
      </w:r>
      <w:r w:rsidR="00DC7177">
        <w:rPr>
          <w:rFonts w:ascii="Verdana" w:hAnsi="Verdana"/>
          <w:sz w:val="20"/>
          <w:szCs w:val="20"/>
          <w:lang w:val="hr-HR"/>
        </w:rPr>
        <w:t>itucije ne</w:t>
      </w:r>
      <w:r w:rsidR="008B369B">
        <w:rPr>
          <w:rFonts w:ascii="Verdana" w:hAnsi="Verdana"/>
          <w:sz w:val="20"/>
          <w:szCs w:val="20"/>
          <w:lang w:val="hr-HR"/>
        </w:rPr>
        <w:t>dostaju</w:t>
      </w:r>
      <w:r w:rsidR="007C26C4">
        <w:rPr>
          <w:rFonts w:ascii="Verdana" w:hAnsi="Verdana"/>
          <w:sz w:val="20"/>
          <w:szCs w:val="20"/>
          <w:lang w:val="hr-HR"/>
        </w:rPr>
        <w:t xml:space="preserve"> </w:t>
      </w:r>
      <w:r w:rsidR="00DC7177">
        <w:rPr>
          <w:rFonts w:ascii="Verdana" w:hAnsi="Verdana"/>
          <w:sz w:val="20"/>
          <w:szCs w:val="20"/>
          <w:lang w:val="hr-HR"/>
        </w:rPr>
        <w:t>jer odgovor</w:t>
      </w:r>
      <w:r w:rsidR="007C26C4">
        <w:rPr>
          <w:rFonts w:ascii="Verdana" w:hAnsi="Verdana"/>
          <w:sz w:val="20"/>
          <w:szCs w:val="20"/>
          <w:lang w:val="hr-HR"/>
        </w:rPr>
        <w:t xml:space="preserve"> na pitanje da li je zahtjev za izuzeće podnesen </w:t>
      </w:r>
      <w:r w:rsidR="007C26C4">
        <w:rPr>
          <w:rFonts w:ascii="Verdana" w:hAnsi="Verdana"/>
          <w:sz w:val="20"/>
          <w:szCs w:val="20"/>
          <w:lang w:val="hr-HR"/>
        </w:rPr>
        <w:lastRenderedPageBreak/>
        <w:t>od strane sudije</w:t>
      </w:r>
      <w:r w:rsidR="00DC7177">
        <w:rPr>
          <w:rFonts w:ascii="Verdana" w:hAnsi="Verdana"/>
          <w:sz w:val="20"/>
          <w:szCs w:val="20"/>
          <w:lang w:val="hr-HR"/>
        </w:rPr>
        <w:t xml:space="preserve"> nije dostavljen</w:t>
      </w:r>
      <w:r w:rsidR="007C26C4">
        <w:rPr>
          <w:rFonts w:ascii="Verdana" w:hAnsi="Verdana"/>
          <w:sz w:val="20"/>
          <w:szCs w:val="20"/>
          <w:lang w:val="hr-HR"/>
        </w:rPr>
        <w:t>.</w:t>
      </w:r>
      <w:r w:rsidR="00DC7177">
        <w:rPr>
          <w:rFonts w:ascii="Verdana" w:hAnsi="Verdana"/>
          <w:sz w:val="20"/>
          <w:szCs w:val="20"/>
          <w:lang w:val="hr-HR"/>
        </w:rPr>
        <w:t xml:space="preserve"> Dakle od ukupnog broja podnesenih zahtjeva 62% je podneseno od strane NPF.</w:t>
      </w:r>
      <w:r w:rsidR="001A7CD0">
        <w:rPr>
          <w:rFonts w:ascii="Verdana" w:hAnsi="Verdana"/>
          <w:sz w:val="20"/>
          <w:szCs w:val="20"/>
          <w:lang w:val="hr-HR"/>
        </w:rPr>
        <w:t xml:space="preserve"> </w:t>
      </w:r>
    </w:p>
    <w:p w14:paraId="361AC5BA" w14:textId="77777777" w:rsidR="007C26C4" w:rsidRDefault="003B321C" w:rsidP="00D84178">
      <w:pPr>
        <w:spacing w:line="276" w:lineRule="auto"/>
        <w:jc w:val="both"/>
        <w:rPr>
          <w:rFonts w:ascii="Verdana" w:hAnsi="Verdana"/>
          <w:sz w:val="20"/>
          <w:szCs w:val="20"/>
          <w:lang w:val="hr-HR"/>
        </w:rPr>
      </w:pPr>
      <w:r>
        <w:rPr>
          <w:rFonts w:ascii="Verdana" w:hAnsi="Verdana"/>
          <w:sz w:val="20"/>
          <w:szCs w:val="20"/>
          <w:lang w:val="hr-HR"/>
        </w:rPr>
        <w:t>Od ukupno 1981. zahtjeva za izuzeće</w:t>
      </w:r>
      <w:r w:rsidR="008B369B">
        <w:rPr>
          <w:rFonts w:ascii="Verdana" w:hAnsi="Verdana"/>
          <w:sz w:val="20"/>
          <w:szCs w:val="20"/>
          <w:lang w:val="hr-HR"/>
        </w:rPr>
        <w:t>,</w:t>
      </w:r>
      <w:r>
        <w:rPr>
          <w:rFonts w:ascii="Verdana" w:hAnsi="Verdana"/>
          <w:sz w:val="20"/>
          <w:szCs w:val="20"/>
          <w:lang w:val="hr-HR"/>
        </w:rPr>
        <w:t xml:space="preserve"> njih 1267 je </w:t>
      </w:r>
      <w:r w:rsidR="001A7CD0">
        <w:rPr>
          <w:rFonts w:ascii="Verdana" w:hAnsi="Verdana"/>
          <w:sz w:val="20"/>
          <w:szCs w:val="20"/>
          <w:lang w:val="hr-HR"/>
        </w:rPr>
        <w:t>u</w:t>
      </w:r>
      <w:r>
        <w:rPr>
          <w:rFonts w:ascii="Verdana" w:hAnsi="Verdana"/>
          <w:sz w:val="20"/>
          <w:szCs w:val="20"/>
          <w:lang w:val="hr-HR"/>
        </w:rPr>
        <w:t xml:space="preserve">svojeno, dok je 677 zahtjeva Rješenjem odbačeno ili </w:t>
      </w:r>
      <w:r w:rsidR="00E94CA1">
        <w:rPr>
          <w:rFonts w:ascii="Verdana" w:hAnsi="Verdana"/>
          <w:sz w:val="20"/>
          <w:szCs w:val="20"/>
          <w:lang w:val="hr-HR"/>
        </w:rPr>
        <w:t>o</w:t>
      </w:r>
      <w:r>
        <w:rPr>
          <w:rFonts w:ascii="Verdana" w:hAnsi="Verdana"/>
          <w:sz w:val="20"/>
          <w:szCs w:val="20"/>
          <w:lang w:val="hr-HR"/>
        </w:rPr>
        <w:t>dbijeno. Za 14 zahtjeva</w:t>
      </w:r>
      <w:r w:rsidR="007C26C4">
        <w:rPr>
          <w:rFonts w:ascii="Verdana" w:hAnsi="Verdana"/>
          <w:sz w:val="20"/>
          <w:szCs w:val="20"/>
          <w:lang w:val="hr-HR"/>
        </w:rPr>
        <w:t xml:space="preserve">, </w:t>
      </w:r>
      <w:r>
        <w:rPr>
          <w:rFonts w:ascii="Verdana" w:hAnsi="Verdana"/>
          <w:sz w:val="20"/>
          <w:szCs w:val="20"/>
          <w:lang w:val="hr-HR"/>
        </w:rPr>
        <w:t xml:space="preserve">ishoda postupka odlučivanja </w:t>
      </w:r>
      <w:r w:rsidR="007C26C4">
        <w:rPr>
          <w:rFonts w:ascii="Verdana" w:hAnsi="Verdana"/>
          <w:sz w:val="20"/>
          <w:szCs w:val="20"/>
          <w:lang w:val="hr-HR"/>
        </w:rPr>
        <w:t xml:space="preserve">nije bilo, jer </w:t>
      </w:r>
      <w:r>
        <w:rPr>
          <w:rFonts w:ascii="Verdana" w:hAnsi="Verdana"/>
          <w:sz w:val="20"/>
          <w:szCs w:val="20"/>
          <w:lang w:val="hr-HR"/>
        </w:rPr>
        <w:t>su predmeti svakako dod</w:t>
      </w:r>
      <w:r w:rsidR="00555CA3">
        <w:rPr>
          <w:rFonts w:ascii="Verdana" w:hAnsi="Verdana"/>
          <w:sz w:val="20"/>
          <w:szCs w:val="20"/>
          <w:lang w:val="hr-HR"/>
        </w:rPr>
        <w:t>i</w:t>
      </w:r>
      <w:r>
        <w:rPr>
          <w:rFonts w:ascii="Verdana" w:hAnsi="Verdana"/>
          <w:sz w:val="20"/>
          <w:szCs w:val="20"/>
          <w:lang w:val="hr-HR"/>
        </w:rPr>
        <w:t>jeljeni u rad drugom NPF</w:t>
      </w:r>
      <w:r w:rsidR="007C26C4">
        <w:rPr>
          <w:rFonts w:ascii="Verdana" w:hAnsi="Verdana"/>
          <w:sz w:val="20"/>
          <w:szCs w:val="20"/>
          <w:lang w:val="hr-HR"/>
        </w:rPr>
        <w:t xml:space="preserve"> iz razloga što </w:t>
      </w:r>
      <w:r>
        <w:rPr>
          <w:rFonts w:ascii="Verdana" w:hAnsi="Verdana"/>
          <w:sz w:val="20"/>
          <w:szCs w:val="20"/>
          <w:lang w:val="hr-HR"/>
        </w:rPr>
        <w:t xml:space="preserve">sudija </w:t>
      </w:r>
      <w:r w:rsidR="007C26C4">
        <w:rPr>
          <w:rFonts w:ascii="Verdana" w:hAnsi="Verdana"/>
          <w:sz w:val="20"/>
          <w:szCs w:val="20"/>
          <w:lang w:val="hr-HR"/>
        </w:rPr>
        <w:t>čije je izuzeće traženo</w:t>
      </w:r>
      <w:r w:rsidR="00E94CA1">
        <w:rPr>
          <w:rFonts w:ascii="Verdana" w:hAnsi="Verdana"/>
          <w:sz w:val="20"/>
          <w:szCs w:val="20"/>
          <w:lang w:val="hr-HR"/>
        </w:rPr>
        <w:t xml:space="preserve"> trenutno ne obnaša dužnost sudije tog suda</w:t>
      </w:r>
      <w:r>
        <w:rPr>
          <w:rFonts w:ascii="Verdana" w:hAnsi="Verdana"/>
          <w:sz w:val="20"/>
          <w:szCs w:val="20"/>
          <w:lang w:val="hr-HR"/>
        </w:rPr>
        <w:t>,</w:t>
      </w:r>
      <w:r w:rsidR="007C26C4">
        <w:rPr>
          <w:rFonts w:ascii="Verdana" w:hAnsi="Verdana"/>
          <w:sz w:val="20"/>
          <w:szCs w:val="20"/>
          <w:lang w:val="hr-HR"/>
        </w:rPr>
        <w:t xml:space="preserve"> dok </w:t>
      </w:r>
      <w:r>
        <w:rPr>
          <w:rFonts w:ascii="Verdana" w:hAnsi="Verdana"/>
          <w:sz w:val="20"/>
          <w:szCs w:val="20"/>
          <w:lang w:val="hr-HR"/>
        </w:rPr>
        <w:t>za ostal</w:t>
      </w:r>
      <w:r w:rsidR="00FA11BE">
        <w:rPr>
          <w:rFonts w:ascii="Verdana" w:hAnsi="Verdana"/>
          <w:sz w:val="20"/>
          <w:szCs w:val="20"/>
          <w:lang w:val="hr-HR"/>
        </w:rPr>
        <w:t>ih</w:t>
      </w:r>
      <w:r>
        <w:rPr>
          <w:rFonts w:ascii="Verdana" w:hAnsi="Verdana"/>
          <w:sz w:val="20"/>
          <w:szCs w:val="20"/>
          <w:lang w:val="hr-HR"/>
        </w:rPr>
        <w:t xml:space="preserve"> 2</w:t>
      </w:r>
      <w:r w:rsidR="00FA11BE">
        <w:rPr>
          <w:rFonts w:ascii="Verdana" w:hAnsi="Verdana"/>
          <w:sz w:val="20"/>
          <w:szCs w:val="20"/>
          <w:lang w:val="hr-HR"/>
        </w:rPr>
        <w:t>9</w:t>
      </w:r>
      <w:r>
        <w:rPr>
          <w:rFonts w:ascii="Verdana" w:hAnsi="Verdana"/>
          <w:sz w:val="20"/>
          <w:szCs w:val="20"/>
          <w:lang w:val="hr-HR"/>
        </w:rPr>
        <w:t xml:space="preserve"> zahtjeva u </w:t>
      </w:r>
      <w:r w:rsidR="007C26C4">
        <w:rPr>
          <w:rFonts w:ascii="Verdana" w:hAnsi="Verdana"/>
          <w:sz w:val="20"/>
          <w:szCs w:val="20"/>
          <w:lang w:val="hr-HR"/>
        </w:rPr>
        <w:t xml:space="preserve">8 pravosudnih institucija, </w:t>
      </w:r>
      <w:r>
        <w:rPr>
          <w:rFonts w:ascii="Verdana" w:hAnsi="Verdana"/>
          <w:sz w:val="20"/>
          <w:szCs w:val="20"/>
          <w:lang w:val="hr-HR"/>
        </w:rPr>
        <w:t>ishod post</w:t>
      </w:r>
      <w:r w:rsidR="007C26C4">
        <w:rPr>
          <w:rFonts w:ascii="Verdana" w:hAnsi="Verdana"/>
          <w:sz w:val="20"/>
          <w:szCs w:val="20"/>
          <w:lang w:val="hr-HR"/>
        </w:rPr>
        <w:t>u</w:t>
      </w:r>
      <w:r>
        <w:rPr>
          <w:rFonts w:ascii="Verdana" w:hAnsi="Verdana"/>
          <w:sz w:val="20"/>
          <w:szCs w:val="20"/>
          <w:lang w:val="hr-HR"/>
        </w:rPr>
        <w:t xml:space="preserve">pka odlučivanja nije </w:t>
      </w:r>
      <w:r w:rsidR="00E94CA1">
        <w:rPr>
          <w:rFonts w:ascii="Verdana" w:hAnsi="Verdana"/>
          <w:sz w:val="20"/>
          <w:szCs w:val="20"/>
          <w:lang w:val="hr-HR"/>
        </w:rPr>
        <w:t>dostavljen u evidencijama</w:t>
      </w:r>
      <w:r>
        <w:rPr>
          <w:rFonts w:ascii="Verdana" w:hAnsi="Verdana"/>
          <w:sz w:val="20"/>
          <w:szCs w:val="20"/>
          <w:lang w:val="hr-HR"/>
        </w:rPr>
        <w:t>.</w:t>
      </w:r>
    </w:p>
    <w:p w14:paraId="3C204D08" w14:textId="77777777" w:rsidR="0016184B" w:rsidRDefault="00BF16C4" w:rsidP="00D84178">
      <w:pPr>
        <w:keepNext/>
        <w:spacing w:line="276" w:lineRule="auto"/>
        <w:jc w:val="both"/>
      </w:pPr>
      <w:r w:rsidRPr="00DB615E">
        <w:rPr>
          <w:rFonts w:ascii="Verdana" w:hAnsi="Verdana"/>
          <w:noProof/>
          <w:sz w:val="20"/>
          <w:szCs w:val="20"/>
          <w:highlight w:val="yellow"/>
          <w:lang w:val="bs-Latn-BA" w:eastAsia="bs-Latn-BA"/>
        </w:rPr>
        <w:drawing>
          <wp:inline distT="0" distB="0" distL="0" distR="0" wp14:anchorId="2B7B7887" wp14:editId="042AB049">
            <wp:extent cx="5844209" cy="2818130"/>
            <wp:effectExtent l="0" t="0" r="4445" b="127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E380B4A" w14:textId="2F4748A5" w:rsidR="00720027" w:rsidRDefault="0016184B" w:rsidP="00D84178">
      <w:pPr>
        <w:pStyle w:val="Caption"/>
        <w:spacing w:line="276" w:lineRule="auto"/>
        <w:jc w:val="both"/>
        <w:rPr>
          <w:lang w:val="bs-Latn-BA"/>
        </w:rPr>
      </w:pPr>
      <w:r>
        <w:t xml:space="preserve">Grafikon </w:t>
      </w:r>
      <w:fldSimple w:instr=" SEQ Grafikon \* ARABIC ">
        <w:r w:rsidR="00BD7835">
          <w:rPr>
            <w:noProof/>
          </w:rPr>
          <w:t>1</w:t>
        </w:r>
      </w:fldSimple>
      <w:r>
        <w:rPr>
          <w:lang w:val="bs-Latn-BA"/>
        </w:rPr>
        <w:t>: Prikaz izuzeća nosilaca pravosudne funkcije</w:t>
      </w:r>
    </w:p>
    <w:p w14:paraId="0715F87E" w14:textId="77777777" w:rsidR="003B321C" w:rsidRDefault="00720027" w:rsidP="00D84178">
      <w:pPr>
        <w:spacing w:line="276" w:lineRule="auto"/>
        <w:jc w:val="both"/>
        <w:rPr>
          <w:rFonts w:ascii="Verdana" w:hAnsi="Verdana"/>
          <w:sz w:val="20"/>
          <w:szCs w:val="20"/>
          <w:lang w:val="hr-HR"/>
        </w:rPr>
      </w:pPr>
      <w:r>
        <w:rPr>
          <w:rFonts w:ascii="Verdana" w:hAnsi="Verdana"/>
          <w:sz w:val="20"/>
          <w:szCs w:val="20"/>
          <w:lang w:val="hr-HR"/>
        </w:rPr>
        <w:t xml:space="preserve">Analizom </w:t>
      </w:r>
      <w:r w:rsidR="007C26C4">
        <w:rPr>
          <w:rFonts w:ascii="Verdana" w:hAnsi="Verdana"/>
          <w:sz w:val="20"/>
          <w:szCs w:val="20"/>
          <w:lang w:val="hr-HR"/>
        </w:rPr>
        <w:t xml:space="preserve">usvojenih zahtjeva za izuzeće u odnosu na zahtjeve podnesene od strane NPF, </w:t>
      </w:r>
      <w:r>
        <w:rPr>
          <w:rFonts w:ascii="Verdana" w:hAnsi="Verdana"/>
          <w:sz w:val="20"/>
          <w:szCs w:val="20"/>
          <w:lang w:val="hr-HR"/>
        </w:rPr>
        <w:t xml:space="preserve"> može se </w:t>
      </w:r>
      <w:r w:rsidR="007C26C4">
        <w:rPr>
          <w:rFonts w:ascii="Verdana" w:hAnsi="Verdana"/>
          <w:sz w:val="20"/>
          <w:szCs w:val="20"/>
          <w:lang w:val="hr-HR"/>
        </w:rPr>
        <w:t>uočiti</w:t>
      </w:r>
      <w:r>
        <w:rPr>
          <w:rFonts w:ascii="Verdana" w:hAnsi="Verdana"/>
          <w:sz w:val="20"/>
          <w:szCs w:val="20"/>
          <w:lang w:val="hr-HR"/>
        </w:rPr>
        <w:t xml:space="preserve"> da su uglavnom zahtjevi koje podnose NPF osnovani i da se u najvećoj mjeri u tim situacijama donosi Rješenje o izuzeću, dok zahtjevi podneseni od strane stranaka</w:t>
      </w:r>
      <w:r w:rsidR="004944E6">
        <w:rPr>
          <w:rFonts w:ascii="Verdana" w:hAnsi="Verdana"/>
          <w:sz w:val="20"/>
          <w:szCs w:val="20"/>
          <w:lang w:val="hr-HR"/>
        </w:rPr>
        <w:t xml:space="preserve"> ili punomoćnika</w:t>
      </w:r>
      <w:r>
        <w:rPr>
          <w:rFonts w:ascii="Verdana" w:hAnsi="Verdana"/>
          <w:sz w:val="20"/>
          <w:szCs w:val="20"/>
          <w:lang w:val="hr-HR"/>
        </w:rPr>
        <w:t xml:space="preserve"> u postupcima bilo sudskim ili tužilačkim su u većini neosnovani</w:t>
      </w:r>
      <w:r w:rsidR="007C26C4">
        <w:rPr>
          <w:rFonts w:ascii="Verdana" w:hAnsi="Verdana"/>
          <w:sz w:val="20"/>
          <w:szCs w:val="20"/>
          <w:lang w:val="hr-HR"/>
        </w:rPr>
        <w:t xml:space="preserve"> i samo manji broj tih zahtjeva se okonča donošenjem Rješenja kojim se </w:t>
      </w:r>
      <w:r w:rsidR="004944E6">
        <w:rPr>
          <w:rFonts w:ascii="Verdana" w:hAnsi="Verdana"/>
          <w:sz w:val="20"/>
          <w:szCs w:val="20"/>
          <w:lang w:val="hr-HR"/>
        </w:rPr>
        <w:t>zahtjev za izuzeće usvaja</w:t>
      </w:r>
      <w:r>
        <w:rPr>
          <w:rFonts w:ascii="Verdana" w:hAnsi="Verdana"/>
          <w:sz w:val="20"/>
          <w:szCs w:val="20"/>
          <w:lang w:val="hr-HR"/>
        </w:rPr>
        <w:t>.</w:t>
      </w:r>
    </w:p>
    <w:p w14:paraId="70EAAEBF" w14:textId="77777777" w:rsidR="00DB615E" w:rsidRDefault="003C5B78" w:rsidP="00D84178">
      <w:pPr>
        <w:spacing w:line="276" w:lineRule="auto"/>
        <w:jc w:val="both"/>
        <w:rPr>
          <w:rFonts w:ascii="Verdana" w:hAnsi="Verdana"/>
          <w:sz w:val="20"/>
          <w:szCs w:val="20"/>
          <w:lang w:val="hr-HR"/>
        </w:rPr>
      </w:pPr>
      <w:r>
        <w:rPr>
          <w:rFonts w:ascii="Verdana" w:hAnsi="Verdana"/>
          <w:sz w:val="20"/>
          <w:szCs w:val="20"/>
          <w:lang w:val="hr-HR"/>
        </w:rPr>
        <w:t xml:space="preserve">U sudovima je podneseno </w:t>
      </w:r>
      <w:r w:rsidR="00DB615E">
        <w:rPr>
          <w:rFonts w:ascii="Verdana" w:hAnsi="Verdana"/>
          <w:sz w:val="20"/>
          <w:szCs w:val="20"/>
          <w:lang w:val="hr-HR"/>
        </w:rPr>
        <w:t xml:space="preserve">ukupno </w:t>
      </w:r>
      <w:r>
        <w:rPr>
          <w:rFonts w:ascii="Verdana" w:hAnsi="Verdana"/>
          <w:sz w:val="20"/>
          <w:szCs w:val="20"/>
          <w:lang w:val="hr-HR"/>
        </w:rPr>
        <w:t>1781 zahtjev</w:t>
      </w:r>
      <w:r w:rsidR="00DB615E">
        <w:rPr>
          <w:rFonts w:ascii="Verdana" w:hAnsi="Verdana"/>
          <w:sz w:val="20"/>
          <w:szCs w:val="20"/>
          <w:lang w:val="hr-HR"/>
        </w:rPr>
        <w:t>a</w:t>
      </w:r>
      <w:r>
        <w:rPr>
          <w:rFonts w:ascii="Verdana" w:hAnsi="Verdana"/>
          <w:sz w:val="20"/>
          <w:szCs w:val="20"/>
          <w:lang w:val="hr-HR"/>
        </w:rPr>
        <w:t xml:space="preserve"> za izuzeće, od </w:t>
      </w:r>
      <w:r w:rsidR="00DB615E">
        <w:rPr>
          <w:rFonts w:ascii="Verdana" w:hAnsi="Verdana"/>
          <w:sz w:val="20"/>
          <w:szCs w:val="20"/>
          <w:lang w:val="hr-HR"/>
        </w:rPr>
        <w:t>čeg</w:t>
      </w:r>
      <w:r>
        <w:rPr>
          <w:rFonts w:ascii="Verdana" w:hAnsi="Verdana"/>
          <w:sz w:val="20"/>
          <w:szCs w:val="20"/>
          <w:lang w:val="hr-HR"/>
        </w:rPr>
        <w:t>a je 1180 zahtjeva usvojeno, a 575 odbačeno/odbijeno</w:t>
      </w:r>
      <w:r w:rsidR="00DB615E">
        <w:rPr>
          <w:rFonts w:ascii="Verdana" w:hAnsi="Verdana"/>
          <w:sz w:val="20"/>
          <w:szCs w:val="20"/>
          <w:lang w:val="hr-HR"/>
        </w:rPr>
        <w:t>, s tim da se</w:t>
      </w:r>
      <w:r w:rsidR="008B613B">
        <w:rPr>
          <w:rFonts w:ascii="Verdana" w:hAnsi="Verdana"/>
          <w:sz w:val="20"/>
          <w:szCs w:val="20"/>
          <w:lang w:val="hr-HR"/>
        </w:rPr>
        <w:t xml:space="preserve"> jedan zahtjev za izuzeće odnosi na predsjednika suda i isti je odbijen. O</w:t>
      </w:r>
      <w:r>
        <w:rPr>
          <w:rFonts w:ascii="Verdana" w:hAnsi="Verdana"/>
          <w:sz w:val="20"/>
          <w:szCs w:val="20"/>
          <w:lang w:val="hr-HR"/>
        </w:rPr>
        <w:t>d ukupnog broja zahtjeva za izuzeće</w:t>
      </w:r>
      <w:r w:rsidR="00DB615E">
        <w:rPr>
          <w:rFonts w:ascii="Verdana" w:hAnsi="Verdana"/>
          <w:sz w:val="20"/>
          <w:szCs w:val="20"/>
          <w:lang w:val="hr-HR"/>
        </w:rPr>
        <w:t>,</w:t>
      </w:r>
      <w:r>
        <w:rPr>
          <w:rFonts w:ascii="Verdana" w:hAnsi="Verdana"/>
          <w:sz w:val="20"/>
          <w:szCs w:val="20"/>
          <w:lang w:val="hr-HR"/>
        </w:rPr>
        <w:t xml:space="preserve"> njih 1129 je podneseno od strane sudija. </w:t>
      </w:r>
    </w:p>
    <w:p w14:paraId="763EBF55" w14:textId="77777777" w:rsidR="003C5B78" w:rsidRDefault="003C5B78" w:rsidP="00D84178">
      <w:pPr>
        <w:spacing w:line="276" w:lineRule="auto"/>
        <w:jc w:val="both"/>
        <w:rPr>
          <w:rFonts w:ascii="Verdana" w:hAnsi="Verdana"/>
          <w:sz w:val="20"/>
          <w:szCs w:val="20"/>
          <w:lang w:val="hr-HR"/>
        </w:rPr>
      </w:pPr>
      <w:r>
        <w:rPr>
          <w:rFonts w:ascii="Verdana" w:hAnsi="Verdana"/>
          <w:sz w:val="20"/>
          <w:szCs w:val="20"/>
          <w:lang w:val="hr-HR"/>
        </w:rPr>
        <w:t xml:space="preserve">U tužilaštvima je podneseno </w:t>
      </w:r>
      <w:r w:rsidR="00DB615E">
        <w:rPr>
          <w:rFonts w:ascii="Verdana" w:hAnsi="Verdana"/>
          <w:sz w:val="20"/>
          <w:szCs w:val="20"/>
          <w:lang w:val="hr-HR"/>
        </w:rPr>
        <w:t xml:space="preserve">ukupno </w:t>
      </w:r>
      <w:r>
        <w:rPr>
          <w:rFonts w:ascii="Verdana" w:hAnsi="Verdana"/>
          <w:sz w:val="20"/>
          <w:szCs w:val="20"/>
          <w:lang w:val="hr-HR"/>
        </w:rPr>
        <w:t>200</w:t>
      </w:r>
      <w:r w:rsidRPr="003C5B78">
        <w:rPr>
          <w:rFonts w:ascii="Verdana" w:hAnsi="Verdana"/>
          <w:sz w:val="20"/>
          <w:szCs w:val="20"/>
          <w:lang w:val="hr-HR"/>
        </w:rPr>
        <w:t xml:space="preserve"> </w:t>
      </w:r>
      <w:r>
        <w:rPr>
          <w:rFonts w:ascii="Verdana" w:hAnsi="Verdana"/>
          <w:sz w:val="20"/>
          <w:szCs w:val="20"/>
          <w:lang w:val="hr-HR"/>
        </w:rPr>
        <w:t>zahtjev</w:t>
      </w:r>
      <w:r w:rsidR="00DB615E">
        <w:rPr>
          <w:rFonts w:ascii="Verdana" w:hAnsi="Verdana"/>
          <w:sz w:val="20"/>
          <w:szCs w:val="20"/>
          <w:lang w:val="hr-HR"/>
        </w:rPr>
        <w:t>a</w:t>
      </w:r>
      <w:r>
        <w:rPr>
          <w:rFonts w:ascii="Verdana" w:hAnsi="Verdana"/>
          <w:sz w:val="20"/>
          <w:szCs w:val="20"/>
          <w:lang w:val="hr-HR"/>
        </w:rPr>
        <w:t xml:space="preserve"> za izuzeće, od </w:t>
      </w:r>
      <w:r w:rsidR="00DB615E">
        <w:rPr>
          <w:rFonts w:ascii="Verdana" w:hAnsi="Verdana"/>
          <w:sz w:val="20"/>
          <w:szCs w:val="20"/>
          <w:lang w:val="hr-HR"/>
        </w:rPr>
        <w:t>če</w:t>
      </w:r>
      <w:r>
        <w:rPr>
          <w:rFonts w:ascii="Verdana" w:hAnsi="Verdana"/>
          <w:sz w:val="20"/>
          <w:szCs w:val="20"/>
          <w:lang w:val="hr-HR"/>
        </w:rPr>
        <w:t>ga je 81 zahtjev usvojen, a 102 odbačeno/odbijeno</w:t>
      </w:r>
      <w:r w:rsidR="00DB615E">
        <w:rPr>
          <w:rFonts w:ascii="Verdana" w:hAnsi="Verdana"/>
          <w:sz w:val="20"/>
          <w:szCs w:val="20"/>
          <w:lang w:val="hr-HR"/>
        </w:rPr>
        <w:t>, s tim da se</w:t>
      </w:r>
      <w:r w:rsidR="008B613B">
        <w:rPr>
          <w:rFonts w:ascii="Verdana" w:hAnsi="Verdana"/>
          <w:sz w:val="20"/>
          <w:szCs w:val="20"/>
          <w:lang w:val="hr-HR"/>
        </w:rPr>
        <w:t xml:space="preserve"> 6 zahtjeva za izuzeće odnosi na glavnog tužioca gdje su 4 zahtjeva usvojena i 2 odbijena. O</w:t>
      </w:r>
      <w:r>
        <w:rPr>
          <w:rFonts w:ascii="Verdana" w:hAnsi="Verdana"/>
          <w:sz w:val="20"/>
          <w:szCs w:val="20"/>
          <w:lang w:val="hr-HR"/>
        </w:rPr>
        <w:t>d ukupnog broja zahtjeva</w:t>
      </w:r>
      <w:r w:rsidR="00DB615E">
        <w:rPr>
          <w:rFonts w:ascii="Verdana" w:hAnsi="Verdana"/>
          <w:sz w:val="20"/>
          <w:szCs w:val="20"/>
          <w:lang w:val="hr-HR"/>
        </w:rPr>
        <w:t>,</w:t>
      </w:r>
      <w:r>
        <w:rPr>
          <w:rFonts w:ascii="Verdana" w:hAnsi="Verdana"/>
          <w:sz w:val="20"/>
          <w:szCs w:val="20"/>
          <w:lang w:val="hr-HR"/>
        </w:rPr>
        <w:t xml:space="preserve"> njih 95 podneseno je od strane tužilaca. </w:t>
      </w:r>
    </w:p>
    <w:p w14:paraId="603F1A16" w14:textId="77777777" w:rsidR="00EA3CE0" w:rsidRPr="00EA3CE0" w:rsidRDefault="00EA3CE0" w:rsidP="00D84178">
      <w:pPr>
        <w:spacing w:line="276" w:lineRule="auto"/>
        <w:jc w:val="both"/>
        <w:rPr>
          <w:rFonts w:ascii="Verdana" w:hAnsi="Verdana"/>
          <w:sz w:val="20"/>
          <w:szCs w:val="20"/>
          <w:lang w:val="hr-HR"/>
        </w:rPr>
      </w:pPr>
      <w:r w:rsidRPr="00EA3CE0">
        <w:rPr>
          <w:rFonts w:ascii="Verdana" w:hAnsi="Verdana"/>
          <w:sz w:val="20"/>
          <w:szCs w:val="20"/>
          <w:lang w:val="hr-HR"/>
        </w:rPr>
        <w:t>U analiziranom periodu za 2025. godinu najviše zahtjeva za izuzeće evidentirano je u Osnovnom sud Brčko distrikta BiH – 132 (123 usvojenih zahtjeva – 93,18%)</w:t>
      </w:r>
      <w:r>
        <w:rPr>
          <w:rFonts w:ascii="Verdana" w:hAnsi="Verdana"/>
          <w:sz w:val="20"/>
          <w:szCs w:val="20"/>
          <w:lang w:val="hr-HR"/>
        </w:rPr>
        <w:t>,</w:t>
      </w:r>
      <w:r w:rsidRPr="00EA3CE0">
        <w:rPr>
          <w:rFonts w:ascii="Verdana" w:hAnsi="Verdana"/>
          <w:sz w:val="20"/>
          <w:szCs w:val="20"/>
          <w:lang w:val="hr-HR"/>
        </w:rPr>
        <w:t xml:space="preserve"> zatim</w:t>
      </w:r>
      <w:r>
        <w:rPr>
          <w:rFonts w:ascii="Verdana" w:hAnsi="Verdana"/>
          <w:sz w:val="20"/>
          <w:szCs w:val="20"/>
          <w:lang w:val="hr-HR"/>
        </w:rPr>
        <w:t xml:space="preserve"> u </w:t>
      </w:r>
      <w:r w:rsidRPr="00EA3CE0">
        <w:rPr>
          <w:rFonts w:ascii="Verdana" w:hAnsi="Verdana"/>
          <w:sz w:val="20"/>
          <w:szCs w:val="20"/>
          <w:lang w:val="hr-HR"/>
        </w:rPr>
        <w:t>Općinsk</w:t>
      </w:r>
      <w:r>
        <w:rPr>
          <w:rFonts w:ascii="Verdana" w:hAnsi="Verdana"/>
          <w:sz w:val="20"/>
          <w:szCs w:val="20"/>
          <w:lang w:val="hr-HR"/>
        </w:rPr>
        <w:t>om</w:t>
      </w:r>
      <w:r w:rsidRPr="00EA3CE0">
        <w:rPr>
          <w:rFonts w:ascii="Verdana" w:hAnsi="Verdana"/>
          <w:sz w:val="20"/>
          <w:szCs w:val="20"/>
          <w:lang w:val="hr-HR"/>
        </w:rPr>
        <w:t xml:space="preserve"> sud</w:t>
      </w:r>
      <w:r>
        <w:rPr>
          <w:rFonts w:ascii="Verdana" w:hAnsi="Verdana"/>
          <w:sz w:val="20"/>
          <w:szCs w:val="20"/>
          <w:lang w:val="hr-HR"/>
        </w:rPr>
        <w:t>u</w:t>
      </w:r>
      <w:r w:rsidRPr="00EA3CE0">
        <w:rPr>
          <w:rFonts w:ascii="Verdana" w:hAnsi="Verdana"/>
          <w:sz w:val="20"/>
          <w:szCs w:val="20"/>
          <w:lang w:val="hr-HR"/>
        </w:rPr>
        <w:t xml:space="preserve"> u Mostaru sa 128 zahtjeva za izuzeće (104 usvojenih zahtjeva </w:t>
      </w:r>
      <w:r>
        <w:rPr>
          <w:rFonts w:ascii="Verdana" w:hAnsi="Verdana"/>
          <w:sz w:val="20"/>
          <w:szCs w:val="20"/>
          <w:lang w:val="hr-HR"/>
        </w:rPr>
        <w:t xml:space="preserve">– </w:t>
      </w:r>
      <w:r w:rsidRPr="00EA3CE0">
        <w:rPr>
          <w:rFonts w:ascii="Verdana" w:hAnsi="Verdana"/>
          <w:sz w:val="20"/>
          <w:szCs w:val="20"/>
          <w:lang w:val="hr-HR"/>
        </w:rPr>
        <w:t xml:space="preserve">81,25%), </w:t>
      </w:r>
      <w:r>
        <w:rPr>
          <w:rFonts w:ascii="Verdana" w:hAnsi="Verdana"/>
          <w:sz w:val="20"/>
          <w:szCs w:val="20"/>
          <w:lang w:val="hr-HR"/>
        </w:rPr>
        <w:t xml:space="preserve">u </w:t>
      </w:r>
      <w:r w:rsidRPr="00EA3CE0">
        <w:rPr>
          <w:rFonts w:ascii="Verdana" w:hAnsi="Verdana"/>
          <w:sz w:val="20"/>
          <w:szCs w:val="20"/>
          <w:lang w:val="hr-HR"/>
        </w:rPr>
        <w:t>Općinsk</w:t>
      </w:r>
      <w:r>
        <w:rPr>
          <w:rFonts w:ascii="Verdana" w:hAnsi="Verdana"/>
          <w:sz w:val="20"/>
          <w:szCs w:val="20"/>
          <w:lang w:val="hr-HR"/>
        </w:rPr>
        <w:t>om</w:t>
      </w:r>
      <w:r w:rsidRPr="00EA3CE0">
        <w:rPr>
          <w:rFonts w:ascii="Verdana" w:hAnsi="Verdana"/>
          <w:sz w:val="20"/>
          <w:szCs w:val="20"/>
          <w:lang w:val="hr-HR"/>
        </w:rPr>
        <w:t xml:space="preserve"> sud</w:t>
      </w:r>
      <w:r>
        <w:rPr>
          <w:rFonts w:ascii="Verdana" w:hAnsi="Verdana"/>
          <w:sz w:val="20"/>
          <w:szCs w:val="20"/>
          <w:lang w:val="hr-HR"/>
        </w:rPr>
        <w:t>u</w:t>
      </w:r>
      <w:r w:rsidRPr="00EA3CE0">
        <w:rPr>
          <w:rFonts w:ascii="Verdana" w:hAnsi="Verdana"/>
          <w:sz w:val="20"/>
          <w:szCs w:val="20"/>
          <w:lang w:val="hr-HR"/>
        </w:rPr>
        <w:t xml:space="preserve"> u Sarajevu - 109 (35 usvojenih zahtjeva – 32,11%),  </w:t>
      </w:r>
      <w:r>
        <w:rPr>
          <w:rFonts w:ascii="Verdana" w:hAnsi="Verdana"/>
          <w:sz w:val="20"/>
          <w:szCs w:val="20"/>
          <w:lang w:val="hr-HR"/>
        </w:rPr>
        <w:t xml:space="preserve">u </w:t>
      </w:r>
      <w:r w:rsidRPr="00EA3CE0">
        <w:rPr>
          <w:rFonts w:ascii="Verdana" w:hAnsi="Verdana"/>
          <w:sz w:val="20"/>
          <w:szCs w:val="20"/>
          <w:lang w:val="hr-HR"/>
        </w:rPr>
        <w:t>Općinsk</w:t>
      </w:r>
      <w:r>
        <w:rPr>
          <w:rFonts w:ascii="Verdana" w:hAnsi="Verdana"/>
          <w:sz w:val="20"/>
          <w:szCs w:val="20"/>
          <w:lang w:val="hr-HR"/>
        </w:rPr>
        <w:t>om</w:t>
      </w:r>
      <w:r w:rsidRPr="00EA3CE0">
        <w:rPr>
          <w:rFonts w:ascii="Verdana" w:hAnsi="Verdana"/>
          <w:sz w:val="20"/>
          <w:szCs w:val="20"/>
          <w:lang w:val="hr-HR"/>
        </w:rPr>
        <w:t xml:space="preserve"> sud</w:t>
      </w:r>
      <w:r>
        <w:rPr>
          <w:rFonts w:ascii="Verdana" w:hAnsi="Verdana"/>
          <w:sz w:val="20"/>
          <w:szCs w:val="20"/>
          <w:lang w:val="hr-HR"/>
        </w:rPr>
        <w:t>u</w:t>
      </w:r>
      <w:r w:rsidRPr="00EA3CE0">
        <w:rPr>
          <w:rFonts w:ascii="Verdana" w:hAnsi="Verdana"/>
          <w:sz w:val="20"/>
          <w:szCs w:val="20"/>
          <w:lang w:val="hr-HR"/>
        </w:rPr>
        <w:t xml:space="preserve"> u Tuzli</w:t>
      </w:r>
      <w:r>
        <w:rPr>
          <w:rFonts w:ascii="Verdana" w:hAnsi="Verdana"/>
          <w:sz w:val="20"/>
          <w:szCs w:val="20"/>
          <w:lang w:val="hr-HR"/>
        </w:rPr>
        <w:t xml:space="preserve"> </w:t>
      </w:r>
      <w:r w:rsidRPr="00EA3CE0">
        <w:rPr>
          <w:rFonts w:ascii="Verdana" w:hAnsi="Verdana"/>
          <w:sz w:val="20"/>
          <w:szCs w:val="20"/>
          <w:lang w:val="hr-HR"/>
        </w:rPr>
        <w:t xml:space="preserve">- 100 (67 usvojenih zahtjeva – 67,00%), </w:t>
      </w:r>
      <w:r>
        <w:rPr>
          <w:rFonts w:ascii="Verdana" w:hAnsi="Verdana"/>
          <w:sz w:val="20"/>
          <w:szCs w:val="20"/>
          <w:lang w:val="hr-HR"/>
        </w:rPr>
        <w:t>u Osnovnom</w:t>
      </w:r>
      <w:r w:rsidRPr="00EA3CE0">
        <w:rPr>
          <w:rFonts w:ascii="Verdana" w:hAnsi="Verdana"/>
          <w:sz w:val="20"/>
          <w:szCs w:val="20"/>
          <w:lang w:val="hr-HR"/>
        </w:rPr>
        <w:t xml:space="preserve"> sud</w:t>
      </w:r>
      <w:r>
        <w:rPr>
          <w:rFonts w:ascii="Verdana" w:hAnsi="Verdana"/>
          <w:sz w:val="20"/>
          <w:szCs w:val="20"/>
          <w:lang w:val="hr-HR"/>
        </w:rPr>
        <w:t>u</w:t>
      </w:r>
      <w:r w:rsidRPr="00EA3CE0">
        <w:rPr>
          <w:rFonts w:ascii="Verdana" w:hAnsi="Verdana"/>
          <w:sz w:val="20"/>
          <w:szCs w:val="20"/>
          <w:lang w:val="hr-HR"/>
        </w:rPr>
        <w:t xml:space="preserve"> u Banj</w:t>
      </w:r>
      <w:r>
        <w:rPr>
          <w:rFonts w:ascii="Verdana" w:hAnsi="Verdana"/>
          <w:sz w:val="20"/>
          <w:szCs w:val="20"/>
          <w:lang w:val="hr-HR"/>
        </w:rPr>
        <w:t>oj</w:t>
      </w:r>
      <w:r w:rsidRPr="00EA3CE0">
        <w:rPr>
          <w:rFonts w:ascii="Verdana" w:hAnsi="Verdana"/>
          <w:sz w:val="20"/>
          <w:szCs w:val="20"/>
          <w:lang w:val="hr-HR"/>
        </w:rPr>
        <w:t xml:space="preserve"> Luci</w:t>
      </w:r>
      <w:r>
        <w:rPr>
          <w:rFonts w:ascii="Verdana" w:hAnsi="Verdana"/>
          <w:sz w:val="20"/>
          <w:szCs w:val="20"/>
          <w:lang w:val="hr-HR"/>
        </w:rPr>
        <w:t xml:space="preserve"> – </w:t>
      </w:r>
      <w:r w:rsidRPr="00EA3CE0">
        <w:rPr>
          <w:rFonts w:ascii="Verdana" w:hAnsi="Verdana"/>
          <w:sz w:val="20"/>
          <w:szCs w:val="20"/>
          <w:lang w:val="hr-HR"/>
        </w:rPr>
        <w:t>85 (53 usvojen</w:t>
      </w:r>
      <w:r>
        <w:rPr>
          <w:rFonts w:ascii="Verdana" w:hAnsi="Verdana"/>
          <w:sz w:val="20"/>
          <w:szCs w:val="20"/>
          <w:lang w:val="hr-HR"/>
        </w:rPr>
        <w:t>a</w:t>
      </w:r>
      <w:r w:rsidRPr="00EA3CE0">
        <w:rPr>
          <w:rFonts w:ascii="Verdana" w:hAnsi="Verdana"/>
          <w:sz w:val="20"/>
          <w:szCs w:val="20"/>
          <w:lang w:val="hr-HR"/>
        </w:rPr>
        <w:t xml:space="preserve"> zahtjeva – 62,35%).</w:t>
      </w:r>
      <w:r>
        <w:rPr>
          <w:rFonts w:ascii="Verdana" w:hAnsi="Verdana"/>
          <w:sz w:val="20"/>
          <w:szCs w:val="20"/>
          <w:lang w:val="hr-HR"/>
        </w:rPr>
        <w:t xml:space="preserve"> </w:t>
      </w:r>
      <w:r w:rsidRPr="00EA3CE0">
        <w:rPr>
          <w:rFonts w:ascii="Verdana" w:hAnsi="Verdana"/>
          <w:sz w:val="20"/>
          <w:szCs w:val="20"/>
          <w:lang w:val="hr-HR"/>
        </w:rPr>
        <w:t xml:space="preserve">Prema </w:t>
      </w:r>
      <w:r>
        <w:rPr>
          <w:rFonts w:ascii="Verdana" w:hAnsi="Verdana"/>
          <w:sz w:val="20"/>
          <w:szCs w:val="20"/>
          <w:lang w:val="hr-HR"/>
        </w:rPr>
        <w:t xml:space="preserve">dostavljenim </w:t>
      </w:r>
      <w:r w:rsidRPr="00EA3CE0">
        <w:rPr>
          <w:rFonts w:ascii="Verdana" w:hAnsi="Verdana"/>
          <w:sz w:val="20"/>
          <w:szCs w:val="20"/>
          <w:lang w:val="hr-HR"/>
        </w:rPr>
        <w:t>podacima institucija,</w:t>
      </w:r>
      <w:r>
        <w:rPr>
          <w:rFonts w:ascii="Verdana" w:hAnsi="Verdana"/>
          <w:sz w:val="20"/>
          <w:szCs w:val="20"/>
          <w:lang w:val="hr-HR"/>
        </w:rPr>
        <w:t xml:space="preserve"> može se zaključiti sljedeće:</w:t>
      </w:r>
      <w:r w:rsidRPr="00EA3CE0">
        <w:rPr>
          <w:rFonts w:ascii="Verdana" w:hAnsi="Verdana"/>
          <w:sz w:val="20"/>
          <w:szCs w:val="20"/>
          <w:lang w:val="hr-HR"/>
        </w:rPr>
        <w:t xml:space="preserve"> 1.261 zahtjev za izuzeće je usvojen (65,06%), 67</w:t>
      </w:r>
      <w:r>
        <w:rPr>
          <w:rFonts w:ascii="Verdana" w:hAnsi="Verdana"/>
          <w:sz w:val="20"/>
          <w:szCs w:val="20"/>
          <w:lang w:val="hr-HR"/>
        </w:rPr>
        <w:t xml:space="preserve">7 zahtjeva je </w:t>
      </w:r>
      <w:r>
        <w:rPr>
          <w:rFonts w:ascii="Verdana" w:hAnsi="Verdana"/>
          <w:sz w:val="20"/>
          <w:szCs w:val="20"/>
          <w:lang w:val="hr-HR"/>
        </w:rPr>
        <w:lastRenderedPageBreak/>
        <w:t>odbijeno/odbačeno (34,39%), dok 43 unosa vezana</w:t>
      </w:r>
      <w:r w:rsidRPr="00EA3CE0">
        <w:rPr>
          <w:rFonts w:ascii="Verdana" w:hAnsi="Verdana"/>
          <w:sz w:val="20"/>
          <w:szCs w:val="20"/>
          <w:lang w:val="hr-HR"/>
        </w:rPr>
        <w:t xml:space="preserve"> za zahtjeve o izuzećima </w:t>
      </w:r>
      <w:r>
        <w:rPr>
          <w:rFonts w:ascii="Verdana" w:hAnsi="Verdana"/>
          <w:sz w:val="20"/>
          <w:szCs w:val="20"/>
          <w:lang w:val="hr-HR"/>
        </w:rPr>
        <w:t xml:space="preserve">ne sadrže </w:t>
      </w:r>
      <w:r w:rsidRPr="00EA3CE0">
        <w:rPr>
          <w:rFonts w:ascii="Verdana" w:hAnsi="Verdana"/>
          <w:sz w:val="20"/>
          <w:szCs w:val="20"/>
          <w:lang w:val="hr-HR"/>
        </w:rPr>
        <w:t>adekvatn</w:t>
      </w:r>
      <w:r>
        <w:rPr>
          <w:rFonts w:ascii="Verdana" w:hAnsi="Verdana"/>
          <w:sz w:val="20"/>
          <w:szCs w:val="20"/>
          <w:lang w:val="hr-HR"/>
        </w:rPr>
        <w:t>e</w:t>
      </w:r>
      <w:r w:rsidRPr="00EA3CE0">
        <w:rPr>
          <w:rFonts w:ascii="Verdana" w:hAnsi="Verdana"/>
          <w:sz w:val="20"/>
          <w:szCs w:val="20"/>
          <w:lang w:val="hr-HR"/>
        </w:rPr>
        <w:t xml:space="preserve"> poda</w:t>
      </w:r>
      <w:r>
        <w:rPr>
          <w:rFonts w:ascii="Verdana" w:hAnsi="Verdana"/>
          <w:sz w:val="20"/>
          <w:szCs w:val="20"/>
          <w:lang w:val="hr-HR"/>
        </w:rPr>
        <w:t>tke</w:t>
      </w:r>
      <w:r w:rsidRPr="00EA3CE0">
        <w:rPr>
          <w:rFonts w:ascii="Verdana" w:hAnsi="Verdana"/>
          <w:sz w:val="20"/>
          <w:szCs w:val="20"/>
          <w:lang w:val="hr-HR"/>
        </w:rPr>
        <w:t xml:space="preserve"> za obradu (0,021%). </w:t>
      </w:r>
    </w:p>
    <w:p w14:paraId="6FD8A1B8" w14:textId="77777777" w:rsidR="00437F58" w:rsidRPr="0024688B" w:rsidRDefault="002D3818" w:rsidP="00D84178">
      <w:pPr>
        <w:spacing w:line="276" w:lineRule="auto"/>
        <w:jc w:val="both"/>
        <w:rPr>
          <w:rFonts w:ascii="Verdana" w:hAnsi="Verdana"/>
          <w:sz w:val="20"/>
          <w:szCs w:val="20"/>
          <w:lang w:val="hr-HR"/>
        </w:rPr>
      </w:pPr>
      <w:r>
        <w:rPr>
          <w:rFonts w:ascii="Verdana" w:hAnsi="Verdana"/>
          <w:sz w:val="20"/>
          <w:szCs w:val="20"/>
          <w:lang w:val="hr-HR"/>
        </w:rPr>
        <w:t>Takođe</w:t>
      </w:r>
      <w:r w:rsidR="00EA3CE0">
        <w:rPr>
          <w:rFonts w:ascii="Verdana" w:hAnsi="Verdana"/>
          <w:sz w:val="20"/>
          <w:szCs w:val="20"/>
          <w:lang w:val="hr-HR"/>
        </w:rPr>
        <w:t>r</w:t>
      </w:r>
      <w:r w:rsidR="003704D5" w:rsidRPr="0024688B">
        <w:rPr>
          <w:rFonts w:ascii="Verdana" w:hAnsi="Verdana"/>
          <w:sz w:val="20"/>
          <w:szCs w:val="20"/>
          <w:lang w:val="hr-HR"/>
        </w:rPr>
        <w:t xml:space="preserve">, podaci o izuzećima mogu poslužiti kao vrijedan izvor informacija za </w:t>
      </w:r>
      <w:r w:rsidR="00F50606">
        <w:rPr>
          <w:rFonts w:ascii="Verdana" w:hAnsi="Verdana"/>
          <w:sz w:val="20"/>
          <w:szCs w:val="20"/>
          <w:lang w:val="hr-HR"/>
        </w:rPr>
        <w:t>VSTV</w:t>
      </w:r>
      <w:r w:rsidR="003704D5" w:rsidRPr="0024688B">
        <w:rPr>
          <w:rFonts w:ascii="Verdana" w:hAnsi="Verdana"/>
          <w:sz w:val="20"/>
          <w:szCs w:val="20"/>
          <w:lang w:val="hr-HR"/>
        </w:rPr>
        <w:t xml:space="preserve"> BiH prilikom procjene efikasnosti i kvaliteta rada sudova i tužilaštava, kao i u okviru procesa planiranja i upravljanja pravosudnim sistemom. Važno je napomenuti da se broj zahtjeva za izuzeće treba tumačiti u kontekstu veličine svake pravosudne institucije, broja nosilaca pravosudnih funkcija zaposlenih u njoj, kao i nadležnosti i veličine jurisdikcije koju ta institucija pokriva. Takav pristup omogućava relevantniju i objektivniju interpretaciju prikupljenih podataka i pridruženih indikatora.</w:t>
      </w:r>
    </w:p>
    <w:p w14:paraId="64C106FA" w14:textId="77777777" w:rsidR="00754305" w:rsidRPr="002D5A29" w:rsidRDefault="002D5A29" w:rsidP="00D84178">
      <w:pPr>
        <w:spacing w:line="276" w:lineRule="auto"/>
        <w:jc w:val="both"/>
        <w:rPr>
          <w:rFonts w:ascii="Verdana" w:hAnsi="Verdana"/>
          <w:sz w:val="20"/>
          <w:szCs w:val="20"/>
          <w:lang w:val="hr-HR"/>
        </w:rPr>
      </w:pPr>
      <w:r w:rsidRPr="002D5A29">
        <w:rPr>
          <w:rFonts w:ascii="Verdana" w:hAnsi="Verdana"/>
          <w:sz w:val="20"/>
          <w:szCs w:val="20"/>
          <w:lang w:val="hr-HR"/>
        </w:rPr>
        <w:t>Prema podacima koji su dostavljeni kroz ev</w:t>
      </w:r>
      <w:r w:rsidR="00754305" w:rsidRPr="002D5A29">
        <w:rPr>
          <w:rFonts w:ascii="Verdana" w:hAnsi="Verdana"/>
          <w:sz w:val="20"/>
          <w:szCs w:val="20"/>
          <w:lang w:val="hr-HR"/>
        </w:rPr>
        <w:t>idencij</w:t>
      </w:r>
      <w:r w:rsidRPr="002D5A29">
        <w:rPr>
          <w:rFonts w:ascii="Verdana" w:hAnsi="Verdana"/>
          <w:sz w:val="20"/>
          <w:szCs w:val="20"/>
          <w:lang w:val="hr-HR"/>
        </w:rPr>
        <w:t>e</w:t>
      </w:r>
      <w:r w:rsidR="00754305" w:rsidRPr="002D5A29">
        <w:rPr>
          <w:rFonts w:ascii="Verdana" w:hAnsi="Verdana"/>
          <w:sz w:val="20"/>
          <w:szCs w:val="20"/>
          <w:lang w:val="hr-HR"/>
        </w:rPr>
        <w:t xml:space="preserve"> </w:t>
      </w:r>
      <w:r w:rsidRPr="002D5A29">
        <w:rPr>
          <w:rFonts w:ascii="Verdana" w:hAnsi="Verdana"/>
          <w:sz w:val="20"/>
          <w:szCs w:val="20"/>
          <w:lang w:val="hr-HR"/>
        </w:rPr>
        <w:t>o broju ukinutih sudskih odluka, može se zaključiti da</w:t>
      </w:r>
      <w:r w:rsidR="0010137C" w:rsidRPr="002D5A29">
        <w:rPr>
          <w:rFonts w:ascii="Verdana" w:hAnsi="Verdana"/>
          <w:sz w:val="20"/>
          <w:szCs w:val="20"/>
          <w:lang w:val="hr-HR"/>
        </w:rPr>
        <w:t xml:space="preserve"> </w:t>
      </w:r>
      <w:r w:rsidRPr="002D5A29">
        <w:rPr>
          <w:rFonts w:ascii="Verdana" w:hAnsi="Verdana"/>
          <w:sz w:val="20"/>
          <w:szCs w:val="20"/>
          <w:lang w:val="hr-HR"/>
        </w:rPr>
        <w:t xml:space="preserve">je na </w:t>
      </w:r>
      <w:r w:rsidR="00754305" w:rsidRPr="002D5A29">
        <w:rPr>
          <w:rFonts w:ascii="Verdana" w:hAnsi="Verdana"/>
          <w:sz w:val="20"/>
          <w:szCs w:val="20"/>
          <w:lang w:val="hr-HR"/>
        </w:rPr>
        <w:t xml:space="preserve">manji broj odluka </w:t>
      </w:r>
      <w:r w:rsidRPr="002D5A29">
        <w:rPr>
          <w:rFonts w:ascii="Verdana" w:hAnsi="Verdana"/>
          <w:sz w:val="20"/>
          <w:szCs w:val="20"/>
          <w:lang w:val="hr-HR"/>
        </w:rPr>
        <w:t>uložena žalba, a da odluke nisu</w:t>
      </w:r>
      <w:r w:rsidR="00754305" w:rsidRPr="002D5A29">
        <w:rPr>
          <w:rFonts w:ascii="Verdana" w:hAnsi="Verdana"/>
          <w:sz w:val="20"/>
          <w:szCs w:val="20"/>
          <w:lang w:val="hr-HR"/>
        </w:rPr>
        <w:t xml:space="preserve"> </w:t>
      </w:r>
      <w:r w:rsidRPr="002D5A29">
        <w:rPr>
          <w:rFonts w:ascii="Verdana" w:hAnsi="Verdana"/>
          <w:sz w:val="20"/>
          <w:szCs w:val="20"/>
          <w:lang w:val="hr-HR"/>
        </w:rPr>
        <w:t>ukinute</w:t>
      </w:r>
      <w:r w:rsidR="00754305" w:rsidRPr="002D5A29">
        <w:rPr>
          <w:rFonts w:ascii="Verdana" w:hAnsi="Verdana"/>
          <w:sz w:val="20"/>
          <w:szCs w:val="20"/>
          <w:lang w:val="hr-HR"/>
        </w:rPr>
        <w:t xml:space="preserve"> </w:t>
      </w:r>
      <w:r w:rsidRPr="002D5A29">
        <w:rPr>
          <w:rFonts w:ascii="Verdana" w:hAnsi="Verdana"/>
          <w:sz w:val="20"/>
          <w:szCs w:val="20"/>
          <w:lang w:val="hr-HR"/>
        </w:rPr>
        <w:t>zbog</w:t>
      </w:r>
      <w:r w:rsidR="00754305" w:rsidRPr="002D5A29">
        <w:rPr>
          <w:rFonts w:ascii="Verdana" w:hAnsi="Verdana"/>
          <w:sz w:val="20"/>
          <w:szCs w:val="20"/>
          <w:lang w:val="hr-HR"/>
        </w:rPr>
        <w:t xml:space="preserve"> </w:t>
      </w:r>
      <w:r w:rsidR="005256D0" w:rsidRPr="002D5A29">
        <w:rPr>
          <w:rFonts w:ascii="Verdana" w:hAnsi="Verdana"/>
          <w:bCs/>
          <w:iCs/>
          <w:sz w:val="20"/>
          <w:szCs w:val="20"/>
        </w:rPr>
        <w:t>nepoštovanja pravila o izuzeću</w:t>
      </w:r>
      <w:r w:rsidRPr="002D5A29">
        <w:rPr>
          <w:rFonts w:ascii="Verdana" w:hAnsi="Verdana"/>
          <w:bCs/>
          <w:iCs/>
          <w:sz w:val="20"/>
          <w:szCs w:val="20"/>
          <w:lang w:val="bs-Latn-BA"/>
        </w:rPr>
        <w:t>.</w:t>
      </w:r>
      <w:r w:rsidR="005256D0" w:rsidRPr="002D5A29">
        <w:rPr>
          <w:rFonts w:ascii="Verdana" w:hAnsi="Verdana"/>
          <w:bCs/>
          <w:iCs/>
          <w:sz w:val="20"/>
          <w:szCs w:val="20"/>
        </w:rPr>
        <w:t xml:space="preserve"> </w:t>
      </w:r>
    </w:p>
    <w:p w14:paraId="5C359DD4" w14:textId="77777777" w:rsidR="00EA3CE0" w:rsidRDefault="00EA3CE0" w:rsidP="00D84178">
      <w:pPr>
        <w:pStyle w:val="Heading3"/>
        <w:spacing w:line="276" w:lineRule="auto"/>
        <w:rPr>
          <w:rFonts w:ascii="Verdana" w:hAnsi="Verdana" w:cs="Calibri"/>
          <w:b/>
          <w:bCs w:val="0"/>
          <w:sz w:val="22"/>
          <w:lang w:val="hr-HR"/>
        </w:rPr>
      </w:pPr>
    </w:p>
    <w:p w14:paraId="0FF4B545" w14:textId="77777777" w:rsidR="00837BBC" w:rsidRPr="00921582" w:rsidRDefault="00EC3346" w:rsidP="00D84178">
      <w:pPr>
        <w:pStyle w:val="Heading3"/>
        <w:spacing w:line="276" w:lineRule="auto"/>
        <w:rPr>
          <w:lang w:val="hr-HR"/>
        </w:rPr>
      </w:pPr>
      <w:bookmarkStart w:id="6" w:name="_Toc229748331"/>
      <w:r w:rsidRPr="00921582">
        <w:rPr>
          <w:lang w:val="hr-HR"/>
        </w:rPr>
        <w:t xml:space="preserve">1.2 </w:t>
      </w:r>
      <w:r w:rsidR="00E805D0" w:rsidRPr="00921582">
        <w:rPr>
          <w:lang w:val="hr-HR"/>
        </w:rPr>
        <w:t>Evidencija d</w:t>
      </w:r>
      <w:r w:rsidR="00837BBC" w:rsidRPr="00921582">
        <w:rPr>
          <w:lang w:val="hr-HR"/>
        </w:rPr>
        <w:t>odatn</w:t>
      </w:r>
      <w:r w:rsidR="00E805D0" w:rsidRPr="00921582">
        <w:rPr>
          <w:lang w:val="hr-HR"/>
        </w:rPr>
        <w:t>ih</w:t>
      </w:r>
      <w:r w:rsidR="00837BBC" w:rsidRPr="00921582">
        <w:rPr>
          <w:lang w:val="hr-HR"/>
        </w:rPr>
        <w:t xml:space="preserve"> </w:t>
      </w:r>
      <w:r w:rsidR="00837BBC" w:rsidRPr="003F7EDC">
        <w:t>aktivnosti</w:t>
      </w:r>
      <w:r w:rsidR="00837BBC" w:rsidRPr="00921582">
        <w:rPr>
          <w:lang w:val="hr-HR"/>
        </w:rPr>
        <w:t xml:space="preserve"> NPF</w:t>
      </w:r>
      <w:bookmarkEnd w:id="6"/>
    </w:p>
    <w:p w14:paraId="47DF9075" w14:textId="77777777" w:rsidR="00F95CBB" w:rsidRDefault="00F95CBB" w:rsidP="00D84178">
      <w:pPr>
        <w:spacing w:after="0" w:line="276" w:lineRule="auto"/>
        <w:jc w:val="both"/>
        <w:rPr>
          <w:rFonts w:ascii="Verdana" w:hAnsi="Verdana"/>
          <w:sz w:val="20"/>
          <w:szCs w:val="20"/>
          <w:lang w:val="hr-HR"/>
        </w:rPr>
      </w:pPr>
    </w:p>
    <w:p w14:paraId="1B7A1141" w14:textId="56D1C0D5" w:rsidR="005C52B7" w:rsidRDefault="00A6349E" w:rsidP="00D84178">
      <w:pPr>
        <w:spacing w:after="0" w:line="276" w:lineRule="auto"/>
        <w:jc w:val="both"/>
        <w:rPr>
          <w:rFonts w:ascii="Verdana" w:hAnsi="Verdana"/>
          <w:sz w:val="20"/>
          <w:szCs w:val="20"/>
          <w:lang w:val="hr-HR"/>
        </w:rPr>
      </w:pPr>
      <w:r w:rsidRPr="0024688B">
        <w:rPr>
          <w:rFonts w:ascii="Verdana" w:hAnsi="Verdana"/>
          <w:sz w:val="20"/>
          <w:szCs w:val="20"/>
          <w:lang w:val="hr-HR"/>
        </w:rPr>
        <w:t>Prema Smjernicama, dodatne aktivnosti predstavljaju sekundarne djelatnosti nosi</w:t>
      </w:r>
      <w:r w:rsidR="004E2C0A">
        <w:rPr>
          <w:rFonts w:ascii="Verdana" w:hAnsi="Verdana"/>
          <w:sz w:val="20"/>
          <w:szCs w:val="20"/>
          <w:lang w:val="hr-HR"/>
        </w:rPr>
        <w:t>la</w:t>
      </w:r>
      <w:r w:rsidRPr="0024688B">
        <w:rPr>
          <w:rFonts w:ascii="Verdana" w:hAnsi="Verdana"/>
          <w:sz w:val="20"/>
          <w:szCs w:val="20"/>
          <w:lang w:val="hr-HR"/>
        </w:rPr>
        <w:t xml:space="preserve">ca pravosudne funkcije  koje podliježu određenim ograničenjima u pogledu sadržaja i </w:t>
      </w:r>
      <w:r w:rsidR="00555CA3">
        <w:rPr>
          <w:rFonts w:ascii="Verdana" w:hAnsi="Verdana"/>
          <w:sz w:val="20"/>
          <w:szCs w:val="20"/>
          <w:lang w:val="hr-HR"/>
        </w:rPr>
        <w:t>prihoda</w:t>
      </w:r>
      <w:r w:rsidRPr="0024688B">
        <w:rPr>
          <w:rFonts w:ascii="Verdana" w:hAnsi="Verdana"/>
          <w:sz w:val="20"/>
          <w:szCs w:val="20"/>
          <w:lang w:val="hr-HR"/>
        </w:rPr>
        <w:t xml:space="preserve">, u cilju očuvanja integriteta pravosudne funkcije i sprečavanja mogućih sukoba interesa. </w:t>
      </w:r>
    </w:p>
    <w:p w14:paraId="34F4AF2C" w14:textId="77777777" w:rsidR="005C52B7" w:rsidRDefault="0005456F" w:rsidP="00D84178">
      <w:pPr>
        <w:spacing w:after="0" w:line="276" w:lineRule="auto"/>
        <w:jc w:val="both"/>
        <w:rPr>
          <w:rFonts w:ascii="Verdana" w:hAnsi="Verdana"/>
          <w:sz w:val="20"/>
          <w:szCs w:val="20"/>
          <w:lang w:val="hr-HR"/>
        </w:rPr>
      </w:pPr>
      <w:r>
        <w:rPr>
          <w:rFonts w:ascii="Verdana" w:hAnsi="Verdana"/>
          <w:sz w:val="20"/>
          <w:szCs w:val="20"/>
          <w:lang w:val="hr-HR"/>
        </w:rPr>
        <w:t>Č</w:t>
      </w:r>
      <w:r w:rsidR="00754305">
        <w:rPr>
          <w:rFonts w:ascii="Verdana" w:hAnsi="Verdana"/>
          <w:sz w:val="20"/>
          <w:szCs w:val="20"/>
          <w:lang w:val="hr-HR"/>
        </w:rPr>
        <w:t>lanom 8</w:t>
      </w:r>
      <w:r w:rsidR="005C52B7">
        <w:rPr>
          <w:rFonts w:ascii="Verdana" w:hAnsi="Verdana"/>
          <w:sz w:val="20"/>
          <w:szCs w:val="20"/>
          <w:lang w:val="hr-HR"/>
        </w:rPr>
        <w:t>3</w:t>
      </w:r>
      <w:r w:rsidR="00754305">
        <w:rPr>
          <w:rFonts w:ascii="Verdana" w:hAnsi="Verdana"/>
          <w:sz w:val="20"/>
          <w:szCs w:val="20"/>
          <w:lang w:val="hr-HR"/>
        </w:rPr>
        <w:t>. Zakona o VSTV-u</w:t>
      </w:r>
      <w:r>
        <w:rPr>
          <w:rFonts w:ascii="Verdana" w:hAnsi="Verdana"/>
          <w:sz w:val="20"/>
          <w:szCs w:val="20"/>
          <w:lang w:val="hr-HR"/>
        </w:rPr>
        <w:t xml:space="preserve"> propisano je</w:t>
      </w:r>
      <w:r w:rsidR="005C52B7">
        <w:rPr>
          <w:rFonts w:ascii="Verdana" w:hAnsi="Verdana"/>
          <w:sz w:val="20"/>
          <w:szCs w:val="20"/>
          <w:lang w:val="hr-HR"/>
        </w:rPr>
        <w:t xml:space="preserve"> koje dodatne aktivnosti može obavljati NPF</w:t>
      </w:r>
      <w:r w:rsidR="00C658F4">
        <w:rPr>
          <w:rFonts w:ascii="Verdana" w:hAnsi="Verdana"/>
          <w:sz w:val="20"/>
          <w:szCs w:val="20"/>
          <w:lang w:val="hr-HR"/>
        </w:rPr>
        <w:t xml:space="preserve"> u toku i van radnog vremena</w:t>
      </w:r>
      <w:r>
        <w:rPr>
          <w:rFonts w:ascii="Verdana" w:hAnsi="Verdana"/>
          <w:sz w:val="20"/>
          <w:szCs w:val="20"/>
          <w:lang w:val="hr-HR"/>
        </w:rPr>
        <w:t xml:space="preserve">, </w:t>
      </w:r>
      <w:r w:rsidR="005C52B7">
        <w:rPr>
          <w:rFonts w:ascii="Verdana" w:hAnsi="Verdana"/>
          <w:sz w:val="20"/>
          <w:szCs w:val="20"/>
          <w:lang w:val="hr-HR"/>
        </w:rPr>
        <w:t>odnosno koje su to spojiv</w:t>
      </w:r>
      <w:r>
        <w:rPr>
          <w:rFonts w:ascii="Verdana" w:hAnsi="Verdana"/>
          <w:sz w:val="20"/>
          <w:szCs w:val="20"/>
          <w:lang w:val="hr-HR"/>
        </w:rPr>
        <w:t>e dodatne aktivnosti, dok član 82. reguliše zabranu vršenja nespojive funkcije.</w:t>
      </w:r>
    </w:p>
    <w:p w14:paraId="29F10C8B" w14:textId="77777777" w:rsidR="005C52B7" w:rsidRDefault="005C52B7" w:rsidP="00D84178">
      <w:pPr>
        <w:spacing w:after="0" w:line="276" w:lineRule="auto"/>
        <w:jc w:val="both"/>
        <w:rPr>
          <w:rFonts w:ascii="Verdana" w:hAnsi="Verdana"/>
          <w:sz w:val="20"/>
          <w:szCs w:val="20"/>
          <w:lang w:val="hr-HR"/>
        </w:rPr>
      </w:pPr>
    </w:p>
    <w:p w14:paraId="1F7AF702" w14:textId="069965DF" w:rsidR="008B613B" w:rsidRDefault="00A6349E" w:rsidP="00D84178">
      <w:pPr>
        <w:spacing w:after="0" w:line="276" w:lineRule="auto"/>
        <w:jc w:val="both"/>
        <w:rPr>
          <w:rFonts w:ascii="Verdana" w:hAnsi="Verdana"/>
          <w:sz w:val="20"/>
          <w:szCs w:val="20"/>
          <w:lang w:val="hr-HR"/>
        </w:rPr>
      </w:pPr>
      <w:r w:rsidRPr="0024688B">
        <w:rPr>
          <w:rFonts w:ascii="Verdana" w:hAnsi="Verdana"/>
          <w:sz w:val="20"/>
          <w:szCs w:val="20"/>
          <w:lang w:val="hr-HR"/>
        </w:rPr>
        <w:t xml:space="preserve">Na osnovu podataka </w:t>
      </w:r>
      <w:r w:rsidR="00C658F4">
        <w:rPr>
          <w:rFonts w:ascii="Verdana" w:hAnsi="Verdana"/>
          <w:sz w:val="20"/>
          <w:szCs w:val="20"/>
          <w:lang w:val="hr-HR"/>
        </w:rPr>
        <w:t xml:space="preserve">koje su dostavile </w:t>
      </w:r>
      <w:r w:rsidRPr="0024688B">
        <w:rPr>
          <w:rFonts w:ascii="Verdana" w:hAnsi="Verdana"/>
          <w:sz w:val="20"/>
          <w:szCs w:val="20"/>
          <w:lang w:val="hr-HR"/>
        </w:rPr>
        <w:t>pravosudn</w:t>
      </w:r>
      <w:r w:rsidR="00C658F4">
        <w:rPr>
          <w:rFonts w:ascii="Verdana" w:hAnsi="Verdana"/>
          <w:sz w:val="20"/>
          <w:szCs w:val="20"/>
          <w:lang w:val="hr-HR"/>
        </w:rPr>
        <w:t>e</w:t>
      </w:r>
      <w:r w:rsidRPr="0024688B">
        <w:rPr>
          <w:rFonts w:ascii="Verdana" w:hAnsi="Verdana"/>
          <w:sz w:val="20"/>
          <w:szCs w:val="20"/>
          <w:lang w:val="hr-HR"/>
        </w:rPr>
        <w:t xml:space="preserve"> institucij</w:t>
      </w:r>
      <w:r w:rsidR="00C658F4">
        <w:rPr>
          <w:rFonts w:ascii="Verdana" w:hAnsi="Verdana"/>
          <w:sz w:val="20"/>
          <w:szCs w:val="20"/>
          <w:lang w:val="hr-HR"/>
        </w:rPr>
        <w:t>e</w:t>
      </w:r>
      <w:r w:rsidRPr="0024688B">
        <w:rPr>
          <w:rFonts w:ascii="Verdana" w:hAnsi="Verdana"/>
          <w:sz w:val="20"/>
          <w:szCs w:val="20"/>
          <w:lang w:val="hr-HR"/>
        </w:rPr>
        <w:t>, u 202</w:t>
      </w:r>
      <w:r w:rsidR="001B22C0">
        <w:rPr>
          <w:rFonts w:ascii="Verdana" w:hAnsi="Verdana"/>
          <w:sz w:val="20"/>
          <w:szCs w:val="20"/>
          <w:lang w:val="hr-HR"/>
        </w:rPr>
        <w:t>5</w:t>
      </w:r>
      <w:r w:rsidRPr="0024688B">
        <w:rPr>
          <w:rFonts w:ascii="Verdana" w:hAnsi="Verdana"/>
          <w:sz w:val="20"/>
          <w:szCs w:val="20"/>
          <w:lang w:val="hr-HR"/>
        </w:rPr>
        <w:t>. godini,</w:t>
      </w:r>
      <w:r w:rsidR="001B22C0">
        <w:rPr>
          <w:rFonts w:ascii="Verdana" w:hAnsi="Verdana"/>
          <w:sz w:val="20"/>
          <w:szCs w:val="20"/>
          <w:lang w:val="hr-HR"/>
        </w:rPr>
        <w:t xml:space="preserve"> ukupno je </w:t>
      </w:r>
      <w:r w:rsidR="00C658F4">
        <w:rPr>
          <w:rFonts w:ascii="Verdana" w:hAnsi="Verdana"/>
          <w:sz w:val="20"/>
          <w:szCs w:val="20"/>
          <w:lang w:val="hr-HR"/>
        </w:rPr>
        <w:t>evidentirano</w:t>
      </w:r>
      <w:r w:rsidR="001B22C0">
        <w:rPr>
          <w:rFonts w:ascii="Verdana" w:hAnsi="Verdana"/>
          <w:sz w:val="20"/>
          <w:szCs w:val="20"/>
          <w:lang w:val="hr-HR"/>
        </w:rPr>
        <w:t xml:space="preserve"> </w:t>
      </w:r>
      <w:r w:rsidR="00ED2FD5">
        <w:rPr>
          <w:rFonts w:ascii="Verdana" w:hAnsi="Verdana"/>
          <w:sz w:val="20"/>
          <w:szCs w:val="20"/>
          <w:lang w:val="hr-HR"/>
        </w:rPr>
        <w:t>450</w:t>
      </w:r>
      <w:r w:rsidR="001B22C0">
        <w:rPr>
          <w:rFonts w:ascii="Verdana" w:hAnsi="Verdana"/>
          <w:sz w:val="20"/>
          <w:szCs w:val="20"/>
          <w:lang w:val="hr-HR"/>
        </w:rPr>
        <w:t xml:space="preserve"> dodatnih aktivnosti 149 NPF</w:t>
      </w:r>
      <w:r w:rsidR="005C52B7">
        <w:rPr>
          <w:rFonts w:ascii="Verdana" w:hAnsi="Verdana"/>
          <w:sz w:val="20"/>
          <w:szCs w:val="20"/>
          <w:lang w:val="hr-HR"/>
        </w:rPr>
        <w:t xml:space="preserve">. Analizirajući odvojeno podatke za sudove i tužilaštva ukupno je obavljeno </w:t>
      </w:r>
      <w:r w:rsidR="00ED2FD5">
        <w:rPr>
          <w:rFonts w:ascii="Verdana" w:hAnsi="Verdana"/>
          <w:sz w:val="20"/>
          <w:szCs w:val="20"/>
          <w:lang w:val="hr-HR"/>
        </w:rPr>
        <w:t>317</w:t>
      </w:r>
      <w:r w:rsidR="005C52B7">
        <w:rPr>
          <w:rFonts w:ascii="Verdana" w:hAnsi="Verdana"/>
          <w:sz w:val="20"/>
          <w:szCs w:val="20"/>
          <w:lang w:val="hr-HR"/>
        </w:rPr>
        <w:t xml:space="preserve"> dodatnih aktivnosti</w:t>
      </w:r>
      <w:r w:rsidR="00C607B7">
        <w:rPr>
          <w:rFonts w:ascii="Verdana" w:hAnsi="Verdana"/>
          <w:sz w:val="20"/>
          <w:szCs w:val="20"/>
          <w:lang w:val="hr-HR"/>
        </w:rPr>
        <w:t xml:space="preserve"> od strane </w:t>
      </w:r>
      <w:r w:rsidR="007E5FAA">
        <w:rPr>
          <w:rFonts w:ascii="Verdana" w:hAnsi="Verdana"/>
          <w:sz w:val="20"/>
          <w:szCs w:val="20"/>
          <w:lang w:val="hr-HR"/>
        </w:rPr>
        <w:t>99</w:t>
      </w:r>
      <w:r w:rsidR="00C607B7">
        <w:rPr>
          <w:rFonts w:ascii="Verdana" w:hAnsi="Verdana"/>
          <w:sz w:val="20"/>
          <w:szCs w:val="20"/>
          <w:lang w:val="hr-HR"/>
        </w:rPr>
        <w:t xml:space="preserve"> sudija, a </w:t>
      </w:r>
      <w:r w:rsidR="007E5FAA">
        <w:rPr>
          <w:rFonts w:ascii="Verdana" w:hAnsi="Verdana"/>
          <w:sz w:val="20"/>
          <w:szCs w:val="20"/>
          <w:lang w:val="hr-HR"/>
        </w:rPr>
        <w:t>133</w:t>
      </w:r>
      <w:r w:rsidR="00C607B7">
        <w:rPr>
          <w:rFonts w:ascii="Verdana" w:hAnsi="Verdana"/>
          <w:sz w:val="20"/>
          <w:szCs w:val="20"/>
          <w:lang w:val="hr-HR"/>
        </w:rPr>
        <w:t xml:space="preserve"> dod</w:t>
      </w:r>
      <w:r w:rsidR="005C52B7">
        <w:rPr>
          <w:rFonts w:ascii="Verdana" w:hAnsi="Verdana"/>
          <w:sz w:val="20"/>
          <w:szCs w:val="20"/>
          <w:lang w:val="hr-HR"/>
        </w:rPr>
        <w:t xml:space="preserve">atnih aktivnosti od strane </w:t>
      </w:r>
      <w:r w:rsidR="007E5FAA">
        <w:rPr>
          <w:rFonts w:ascii="Verdana" w:hAnsi="Verdana"/>
          <w:sz w:val="20"/>
          <w:szCs w:val="20"/>
          <w:lang w:val="hr-HR"/>
        </w:rPr>
        <w:t>50</w:t>
      </w:r>
      <w:r w:rsidR="005C52B7">
        <w:rPr>
          <w:rFonts w:ascii="Verdana" w:hAnsi="Verdana"/>
          <w:sz w:val="20"/>
          <w:szCs w:val="20"/>
          <w:lang w:val="hr-HR"/>
        </w:rPr>
        <w:t xml:space="preserve"> tužioca.</w:t>
      </w:r>
    </w:p>
    <w:p w14:paraId="4B62B848" w14:textId="77777777" w:rsidR="008B613B" w:rsidRDefault="008B613B" w:rsidP="00D84178">
      <w:pPr>
        <w:spacing w:after="0" w:line="276" w:lineRule="auto"/>
        <w:jc w:val="both"/>
        <w:rPr>
          <w:rFonts w:ascii="Verdana" w:hAnsi="Verdana"/>
          <w:sz w:val="20"/>
          <w:szCs w:val="20"/>
          <w:lang w:val="hr-HR"/>
        </w:rPr>
      </w:pPr>
    </w:p>
    <w:p w14:paraId="2544709C" w14:textId="77777777" w:rsidR="008B613B" w:rsidRDefault="00C658F4" w:rsidP="00D84178">
      <w:pPr>
        <w:spacing w:after="0" w:line="276" w:lineRule="auto"/>
        <w:jc w:val="both"/>
        <w:rPr>
          <w:rFonts w:ascii="Verdana" w:hAnsi="Verdana"/>
          <w:sz w:val="20"/>
          <w:szCs w:val="20"/>
          <w:lang w:val="hr-HR"/>
        </w:rPr>
      </w:pPr>
      <w:r>
        <w:rPr>
          <w:rFonts w:ascii="Verdana" w:hAnsi="Verdana"/>
          <w:sz w:val="20"/>
          <w:szCs w:val="20"/>
          <w:lang w:val="hr-HR"/>
        </w:rPr>
        <w:t xml:space="preserve">Posmatrajući dostavljene podatke prema nivou pravosudnih </w:t>
      </w:r>
      <w:r w:rsidR="008B613B">
        <w:rPr>
          <w:rFonts w:ascii="Verdana" w:hAnsi="Verdana"/>
          <w:sz w:val="20"/>
          <w:szCs w:val="20"/>
          <w:lang w:val="hr-HR"/>
        </w:rPr>
        <w:t>institucija</w:t>
      </w:r>
      <w:r>
        <w:rPr>
          <w:rFonts w:ascii="Verdana" w:hAnsi="Verdana"/>
          <w:sz w:val="20"/>
          <w:szCs w:val="20"/>
          <w:lang w:val="hr-HR"/>
        </w:rPr>
        <w:t>, podaci su sljedeći</w:t>
      </w:r>
      <w:r w:rsidR="008B613B">
        <w:rPr>
          <w:rFonts w:ascii="Verdana" w:hAnsi="Verdana"/>
          <w:sz w:val="20"/>
          <w:szCs w:val="20"/>
          <w:lang w:val="hr-HR"/>
        </w:rPr>
        <w:t>:</w:t>
      </w:r>
    </w:p>
    <w:p w14:paraId="2C974BB6" w14:textId="1F784F68" w:rsidR="00691E0F" w:rsidRDefault="00691E0F" w:rsidP="00D84178">
      <w:pPr>
        <w:spacing w:after="0" w:line="276" w:lineRule="auto"/>
        <w:jc w:val="both"/>
        <w:rPr>
          <w:rFonts w:ascii="Verdana" w:hAnsi="Verdana"/>
          <w:sz w:val="20"/>
          <w:szCs w:val="20"/>
          <w:lang w:val="hr-HR"/>
        </w:rPr>
      </w:pPr>
      <w:r w:rsidRPr="005C5031">
        <w:rPr>
          <w:rFonts w:ascii="Verdana" w:hAnsi="Verdana"/>
          <w:sz w:val="20"/>
          <w:szCs w:val="20"/>
          <w:lang w:val="hr-HR"/>
        </w:rPr>
        <w:t>Sud Bosne i Hercegovine, 10 sudija obavilo je ukupno 23 dodatne aktivnosti;</w:t>
      </w:r>
      <w:r>
        <w:rPr>
          <w:rFonts w:ascii="Verdana" w:hAnsi="Verdana"/>
          <w:sz w:val="20"/>
          <w:szCs w:val="20"/>
          <w:lang w:val="hr-HR"/>
        </w:rPr>
        <w:t xml:space="preserve"> </w:t>
      </w:r>
      <w:r w:rsidRPr="005C5031">
        <w:rPr>
          <w:rFonts w:ascii="Verdana" w:hAnsi="Verdana"/>
          <w:sz w:val="20"/>
          <w:szCs w:val="20"/>
          <w:lang w:val="hr-HR"/>
        </w:rPr>
        <w:t>Vrhovni sud Federacije BiH, 17 sudija obavilo je ukupno 8</w:t>
      </w:r>
      <w:r w:rsidR="007E5FAA">
        <w:rPr>
          <w:rFonts w:ascii="Verdana" w:hAnsi="Verdana"/>
          <w:sz w:val="20"/>
          <w:szCs w:val="20"/>
          <w:lang w:val="hr-HR"/>
        </w:rPr>
        <w:t>7</w:t>
      </w:r>
      <w:r w:rsidRPr="005C5031">
        <w:rPr>
          <w:rFonts w:ascii="Verdana" w:hAnsi="Verdana"/>
          <w:sz w:val="20"/>
          <w:szCs w:val="20"/>
          <w:lang w:val="hr-HR"/>
        </w:rPr>
        <w:t xml:space="preserve"> dodatnih aktivnosti;</w:t>
      </w:r>
      <w:r>
        <w:rPr>
          <w:rFonts w:ascii="Verdana" w:hAnsi="Verdana"/>
          <w:sz w:val="20"/>
          <w:szCs w:val="20"/>
          <w:lang w:val="hr-HR"/>
        </w:rPr>
        <w:t xml:space="preserve"> </w:t>
      </w:r>
      <w:r w:rsidRPr="005C5031">
        <w:rPr>
          <w:rFonts w:ascii="Verdana" w:hAnsi="Verdana"/>
          <w:sz w:val="20"/>
          <w:szCs w:val="20"/>
          <w:lang w:val="hr-HR"/>
        </w:rPr>
        <w:t>Vrhovni sud Republike Srpske, 12 sudija obavilo je ukupno 24 dodatne aktivnosti;</w:t>
      </w:r>
      <w:r>
        <w:rPr>
          <w:rFonts w:ascii="Verdana" w:hAnsi="Verdana"/>
          <w:sz w:val="20"/>
          <w:szCs w:val="20"/>
          <w:lang w:val="hr-HR"/>
        </w:rPr>
        <w:t xml:space="preserve"> Kantonalni sudovi, </w:t>
      </w:r>
      <w:r w:rsidRPr="005C5031">
        <w:rPr>
          <w:rFonts w:ascii="Verdana" w:hAnsi="Verdana"/>
          <w:sz w:val="20"/>
          <w:szCs w:val="20"/>
          <w:lang w:val="hr-HR"/>
        </w:rPr>
        <w:t>u 8 sudova, 20 sudija obavilo je ukupno 84 dodatne aktivnosti;</w:t>
      </w:r>
      <w:r>
        <w:rPr>
          <w:rFonts w:ascii="Verdana" w:hAnsi="Verdana"/>
          <w:sz w:val="20"/>
          <w:szCs w:val="20"/>
          <w:lang w:val="hr-HR"/>
        </w:rPr>
        <w:t xml:space="preserve"> </w:t>
      </w:r>
      <w:r w:rsidRPr="005C5031">
        <w:rPr>
          <w:rFonts w:ascii="Verdana" w:hAnsi="Verdana"/>
          <w:sz w:val="20"/>
          <w:szCs w:val="20"/>
          <w:lang w:val="hr-HR"/>
        </w:rPr>
        <w:t>Okružni sudovi</w:t>
      </w:r>
      <w:r>
        <w:rPr>
          <w:rFonts w:ascii="Verdana" w:hAnsi="Verdana"/>
          <w:sz w:val="20"/>
          <w:szCs w:val="20"/>
          <w:lang w:val="hr-HR"/>
        </w:rPr>
        <w:t>, u</w:t>
      </w:r>
      <w:r w:rsidRPr="005C5031">
        <w:rPr>
          <w:rFonts w:ascii="Verdana" w:hAnsi="Verdana"/>
          <w:sz w:val="20"/>
          <w:szCs w:val="20"/>
          <w:lang w:val="hr-HR"/>
        </w:rPr>
        <w:t xml:space="preserve"> 4 </w:t>
      </w:r>
      <w:r>
        <w:rPr>
          <w:rFonts w:ascii="Verdana" w:hAnsi="Verdana"/>
          <w:sz w:val="20"/>
          <w:szCs w:val="20"/>
          <w:lang w:val="hr-HR"/>
        </w:rPr>
        <w:t>suda</w:t>
      </w:r>
      <w:r w:rsidRPr="005C5031">
        <w:rPr>
          <w:rFonts w:ascii="Verdana" w:hAnsi="Verdana"/>
          <w:sz w:val="20"/>
          <w:szCs w:val="20"/>
          <w:lang w:val="hr-HR"/>
        </w:rPr>
        <w:t>, 17 sudija obavilo je ukupno 51 dodatnu aktivnost;</w:t>
      </w:r>
      <w:r>
        <w:rPr>
          <w:rFonts w:ascii="Verdana" w:hAnsi="Verdana"/>
          <w:sz w:val="20"/>
          <w:szCs w:val="20"/>
          <w:lang w:val="hr-HR"/>
        </w:rPr>
        <w:t xml:space="preserve"> </w:t>
      </w:r>
      <w:r w:rsidRPr="005C5031">
        <w:rPr>
          <w:rFonts w:ascii="Verdana" w:hAnsi="Verdana"/>
          <w:sz w:val="20"/>
          <w:szCs w:val="20"/>
          <w:lang w:val="hr-HR"/>
        </w:rPr>
        <w:t>Općinski sudov</w:t>
      </w:r>
      <w:r>
        <w:rPr>
          <w:rFonts w:ascii="Verdana" w:hAnsi="Verdana"/>
          <w:sz w:val="20"/>
          <w:szCs w:val="20"/>
          <w:lang w:val="hr-HR"/>
        </w:rPr>
        <w:t>i</w:t>
      </w:r>
      <w:r w:rsidRPr="005C5031">
        <w:rPr>
          <w:rFonts w:ascii="Verdana" w:hAnsi="Verdana"/>
          <w:sz w:val="20"/>
          <w:szCs w:val="20"/>
          <w:lang w:val="hr-HR"/>
        </w:rPr>
        <w:t xml:space="preserve">, u 9 </w:t>
      </w:r>
      <w:r>
        <w:rPr>
          <w:rFonts w:ascii="Verdana" w:hAnsi="Verdana"/>
          <w:sz w:val="20"/>
          <w:szCs w:val="20"/>
          <w:lang w:val="hr-HR"/>
        </w:rPr>
        <w:t xml:space="preserve">sudova, </w:t>
      </w:r>
      <w:r w:rsidR="00ED2FD5">
        <w:rPr>
          <w:rFonts w:ascii="Verdana" w:hAnsi="Verdana"/>
          <w:sz w:val="20"/>
          <w:szCs w:val="20"/>
          <w:lang w:val="hr-HR"/>
        </w:rPr>
        <w:t>20</w:t>
      </w:r>
      <w:r w:rsidRPr="005C5031">
        <w:rPr>
          <w:rFonts w:ascii="Verdana" w:hAnsi="Verdana"/>
          <w:sz w:val="20"/>
          <w:szCs w:val="20"/>
          <w:lang w:val="hr-HR"/>
        </w:rPr>
        <w:t xml:space="preserve"> sudija obavilo j</w:t>
      </w:r>
      <w:r>
        <w:rPr>
          <w:rFonts w:ascii="Verdana" w:hAnsi="Verdana"/>
          <w:sz w:val="20"/>
          <w:szCs w:val="20"/>
          <w:lang w:val="hr-HR"/>
        </w:rPr>
        <w:t>e ukupno 3</w:t>
      </w:r>
      <w:r w:rsidR="00ED2FD5">
        <w:rPr>
          <w:rFonts w:ascii="Verdana" w:hAnsi="Verdana"/>
          <w:sz w:val="20"/>
          <w:szCs w:val="20"/>
          <w:lang w:val="hr-HR"/>
        </w:rPr>
        <w:t>6</w:t>
      </w:r>
      <w:r>
        <w:rPr>
          <w:rFonts w:ascii="Verdana" w:hAnsi="Verdana"/>
          <w:sz w:val="20"/>
          <w:szCs w:val="20"/>
          <w:lang w:val="hr-HR"/>
        </w:rPr>
        <w:t xml:space="preserve"> dodatnu aktivnosti;</w:t>
      </w:r>
      <w:r w:rsidRPr="005C5031">
        <w:rPr>
          <w:rFonts w:ascii="Verdana" w:hAnsi="Verdana"/>
          <w:sz w:val="20"/>
          <w:szCs w:val="20"/>
          <w:lang w:val="hr-HR"/>
        </w:rPr>
        <w:t xml:space="preserve"> Osnovn</w:t>
      </w:r>
      <w:r>
        <w:rPr>
          <w:rFonts w:ascii="Verdana" w:hAnsi="Verdana"/>
          <w:sz w:val="20"/>
          <w:szCs w:val="20"/>
          <w:lang w:val="hr-HR"/>
        </w:rPr>
        <w:t>i</w:t>
      </w:r>
      <w:r w:rsidRPr="005C5031">
        <w:rPr>
          <w:rFonts w:ascii="Verdana" w:hAnsi="Verdana"/>
          <w:sz w:val="20"/>
          <w:szCs w:val="20"/>
          <w:lang w:val="hr-HR"/>
        </w:rPr>
        <w:t xml:space="preserve"> sud,</w:t>
      </w:r>
      <w:r>
        <w:rPr>
          <w:rFonts w:ascii="Verdana" w:hAnsi="Verdana"/>
          <w:sz w:val="20"/>
          <w:szCs w:val="20"/>
          <w:lang w:val="hr-HR"/>
        </w:rPr>
        <w:t xml:space="preserve"> </w:t>
      </w:r>
      <w:r w:rsidRPr="005C5031">
        <w:rPr>
          <w:rFonts w:ascii="Verdana" w:hAnsi="Verdana"/>
          <w:sz w:val="20"/>
          <w:szCs w:val="20"/>
          <w:lang w:val="hr-HR"/>
        </w:rPr>
        <w:t>u 2</w:t>
      </w:r>
      <w:r>
        <w:rPr>
          <w:rFonts w:ascii="Verdana" w:hAnsi="Verdana"/>
          <w:sz w:val="20"/>
          <w:szCs w:val="20"/>
          <w:lang w:val="hr-HR"/>
        </w:rPr>
        <w:t xml:space="preserve"> suda,</w:t>
      </w:r>
      <w:r w:rsidRPr="005C5031">
        <w:rPr>
          <w:rFonts w:ascii="Verdana" w:hAnsi="Verdana"/>
          <w:sz w:val="20"/>
          <w:szCs w:val="20"/>
          <w:lang w:val="hr-HR"/>
        </w:rPr>
        <w:t xml:space="preserve"> 3 sudija obavilo je ukupno 12 dodatnih aktivnosti</w:t>
      </w:r>
      <w:r>
        <w:rPr>
          <w:rFonts w:ascii="Verdana" w:hAnsi="Verdana"/>
          <w:sz w:val="20"/>
          <w:szCs w:val="20"/>
          <w:lang w:val="hr-HR"/>
        </w:rPr>
        <w:t xml:space="preserve">; </w:t>
      </w:r>
      <w:r w:rsidRPr="005C5031">
        <w:rPr>
          <w:rFonts w:ascii="Verdana" w:hAnsi="Verdana"/>
          <w:sz w:val="20"/>
          <w:szCs w:val="20"/>
          <w:lang w:val="hr-HR"/>
        </w:rPr>
        <w:t xml:space="preserve">Tužilaštvo Bosne i Hercegovine, 8 tužilaca obavilo je ukupno 23 </w:t>
      </w:r>
      <w:r w:rsidRPr="008E1883">
        <w:rPr>
          <w:rFonts w:ascii="Verdana" w:hAnsi="Verdana"/>
          <w:sz w:val="20"/>
          <w:szCs w:val="20"/>
          <w:lang w:val="hr-HR"/>
        </w:rPr>
        <w:t>dodatne aktivnosti; F</w:t>
      </w:r>
      <w:r w:rsidR="008E1883" w:rsidRPr="008E1883">
        <w:rPr>
          <w:rFonts w:ascii="Verdana" w:hAnsi="Verdana"/>
          <w:sz w:val="20"/>
          <w:szCs w:val="20"/>
          <w:lang w:val="hr-HR"/>
        </w:rPr>
        <w:t xml:space="preserve">ederalno tužilaštvo F BiH, dvoje tužilaca je obavilo 4 dodatne aktivnosti; Republičko tužilaštvo RS, 7 tužilaca je obavilo 12 dodatnih aktivnosti; </w:t>
      </w:r>
      <w:r w:rsidR="008E1883" w:rsidRPr="008F3054">
        <w:rPr>
          <w:rFonts w:ascii="Verdana" w:hAnsi="Verdana"/>
          <w:sz w:val="20"/>
          <w:szCs w:val="20"/>
          <w:lang w:val="hr-HR"/>
        </w:rPr>
        <w:t>Kantonalna tužilaštava, u 6</w:t>
      </w:r>
      <w:r w:rsidRPr="008F3054">
        <w:rPr>
          <w:rFonts w:ascii="Verdana" w:hAnsi="Verdana"/>
          <w:sz w:val="20"/>
          <w:szCs w:val="20"/>
          <w:lang w:val="hr-HR"/>
        </w:rPr>
        <w:t xml:space="preserve"> tužilaštava</w:t>
      </w:r>
      <w:r w:rsidR="008E1883" w:rsidRPr="008F3054">
        <w:rPr>
          <w:rFonts w:ascii="Verdana" w:hAnsi="Verdana"/>
          <w:sz w:val="20"/>
          <w:szCs w:val="20"/>
          <w:lang w:val="hr-HR"/>
        </w:rPr>
        <w:t>, 24</w:t>
      </w:r>
      <w:r w:rsidRPr="008F3054">
        <w:rPr>
          <w:rFonts w:ascii="Verdana" w:hAnsi="Verdana"/>
          <w:sz w:val="20"/>
          <w:szCs w:val="20"/>
          <w:lang w:val="hr-HR"/>
        </w:rPr>
        <w:t xml:space="preserve"> tužilaca obavilo je ukupno 7</w:t>
      </w:r>
      <w:r w:rsidR="008E1883" w:rsidRPr="008F3054">
        <w:rPr>
          <w:rFonts w:ascii="Verdana" w:hAnsi="Verdana"/>
          <w:sz w:val="20"/>
          <w:szCs w:val="20"/>
          <w:lang w:val="hr-HR"/>
        </w:rPr>
        <w:t>3</w:t>
      </w:r>
      <w:r w:rsidRPr="008F3054">
        <w:rPr>
          <w:rFonts w:ascii="Verdana" w:hAnsi="Verdana"/>
          <w:sz w:val="20"/>
          <w:szCs w:val="20"/>
          <w:lang w:val="hr-HR"/>
        </w:rPr>
        <w:t xml:space="preserve"> dodatnih aktivnosti;</w:t>
      </w:r>
      <w:r w:rsidR="008E1883" w:rsidRPr="008F3054">
        <w:rPr>
          <w:rFonts w:ascii="Verdana" w:hAnsi="Verdana"/>
          <w:sz w:val="20"/>
          <w:szCs w:val="20"/>
          <w:lang w:val="hr-HR"/>
        </w:rPr>
        <w:t xml:space="preserve"> Okružna javna tužilaštva, u 2 tužilaštva, 9</w:t>
      </w:r>
      <w:r w:rsidRPr="008F3054">
        <w:rPr>
          <w:rFonts w:ascii="Verdana" w:hAnsi="Verdana"/>
          <w:sz w:val="20"/>
          <w:szCs w:val="20"/>
          <w:lang w:val="hr-HR"/>
        </w:rPr>
        <w:t xml:space="preserve"> tužilaca obavilo je ukupno </w:t>
      </w:r>
      <w:r w:rsidR="008E1883" w:rsidRPr="008F3054">
        <w:rPr>
          <w:rFonts w:ascii="Verdana" w:hAnsi="Verdana"/>
          <w:sz w:val="20"/>
          <w:szCs w:val="20"/>
          <w:lang w:val="hr-HR"/>
        </w:rPr>
        <w:t>21</w:t>
      </w:r>
      <w:r w:rsidRPr="008F3054">
        <w:rPr>
          <w:rFonts w:ascii="Verdana" w:hAnsi="Verdana"/>
          <w:sz w:val="20"/>
          <w:szCs w:val="20"/>
          <w:lang w:val="hr-HR"/>
        </w:rPr>
        <w:t xml:space="preserve"> dodatne aktivnosti.</w:t>
      </w:r>
    </w:p>
    <w:p w14:paraId="434040C3" w14:textId="61040650" w:rsidR="00691E0F" w:rsidRDefault="00691E0F" w:rsidP="00D84178">
      <w:pPr>
        <w:spacing w:after="0" w:line="276" w:lineRule="auto"/>
        <w:jc w:val="both"/>
        <w:rPr>
          <w:rFonts w:ascii="Verdana" w:hAnsi="Verdana"/>
          <w:sz w:val="20"/>
          <w:szCs w:val="20"/>
          <w:lang w:val="hr-HR"/>
        </w:rPr>
      </w:pPr>
      <w:r>
        <w:rPr>
          <w:rFonts w:ascii="Verdana" w:hAnsi="Verdana"/>
          <w:sz w:val="20"/>
          <w:szCs w:val="20"/>
          <w:lang w:val="hr-HR"/>
        </w:rPr>
        <w:t xml:space="preserve">Prema dostavljenim podacima, </w:t>
      </w:r>
      <w:r>
        <w:rPr>
          <w:rFonts w:ascii="Verdana" w:hAnsi="Verdana" w:cstheme="minorHAnsi"/>
          <w:sz w:val="20"/>
          <w:szCs w:val="20"/>
          <w:lang w:val="hr-HR"/>
        </w:rPr>
        <w:t>n</w:t>
      </w:r>
      <w:r w:rsidRPr="0024688B">
        <w:rPr>
          <w:rFonts w:ascii="Verdana" w:hAnsi="Verdana" w:cstheme="minorHAnsi"/>
          <w:sz w:val="20"/>
          <w:szCs w:val="20"/>
          <w:lang w:val="hr-HR"/>
        </w:rPr>
        <w:t>ajviše dodatnih aktivnosti je evidentirao Vrhovni sud FBiH -</w:t>
      </w:r>
      <w:r>
        <w:rPr>
          <w:rFonts w:ascii="Verdana" w:hAnsi="Verdana" w:cstheme="minorHAnsi"/>
          <w:sz w:val="20"/>
          <w:szCs w:val="20"/>
          <w:lang w:val="hr-HR"/>
        </w:rPr>
        <w:t xml:space="preserve"> 8</w:t>
      </w:r>
      <w:r w:rsidR="008F3054">
        <w:rPr>
          <w:rFonts w:ascii="Verdana" w:hAnsi="Verdana" w:cstheme="minorHAnsi"/>
          <w:sz w:val="20"/>
          <w:szCs w:val="20"/>
          <w:lang w:val="hr-HR"/>
        </w:rPr>
        <w:t>7</w:t>
      </w:r>
      <w:r w:rsidRPr="0024688B">
        <w:rPr>
          <w:rFonts w:ascii="Verdana" w:hAnsi="Verdana" w:cstheme="minorHAnsi"/>
          <w:sz w:val="20"/>
          <w:szCs w:val="20"/>
          <w:lang w:val="hr-HR"/>
        </w:rPr>
        <w:t xml:space="preserve"> za analizirani period 202</w:t>
      </w:r>
      <w:r>
        <w:rPr>
          <w:rFonts w:ascii="Verdana" w:hAnsi="Verdana" w:cstheme="minorHAnsi"/>
          <w:sz w:val="20"/>
          <w:szCs w:val="20"/>
          <w:lang w:val="hr-HR"/>
        </w:rPr>
        <w:t>5</w:t>
      </w:r>
      <w:r w:rsidRPr="0024688B">
        <w:rPr>
          <w:rFonts w:ascii="Verdana" w:hAnsi="Verdana" w:cstheme="minorHAnsi"/>
          <w:sz w:val="20"/>
          <w:szCs w:val="20"/>
          <w:lang w:val="hr-HR"/>
        </w:rPr>
        <w:t>. godine.</w:t>
      </w:r>
    </w:p>
    <w:p w14:paraId="130142CC" w14:textId="77777777" w:rsidR="00691E0F" w:rsidRDefault="00691E0F" w:rsidP="00D84178">
      <w:pPr>
        <w:spacing w:after="0" w:line="276" w:lineRule="auto"/>
        <w:jc w:val="both"/>
        <w:rPr>
          <w:rFonts w:ascii="Verdana" w:hAnsi="Verdana"/>
          <w:sz w:val="20"/>
          <w:szCs w:val="20"/>
          <w:lang w:val="hr-HR"/>
        </w:rPr>
      </w:pPr>
      <w:r w:rsidRPr="002D4402">
        <w:rPr>
          <w:rFonts w:ascii="Verdana" w:hAnsi="Verdana"/>
          <w:sz w:val="20"/>
          <w:szCs w:val="20"/>
          <w:lang w:val="hr-HR"/>
        </w:rPr>
        <w:t>Imajući u vidu pobrojane institucije, od ukupno 102 pravosudne institucije, informacije o dodatnim aktivnostima nisu dostavile pravosudne institucije Brčko distrikta BiH, dva okružna i dva kantonalna suda, 24 općinska i 14 osnovnih sudova, okružni privredni sudovi u Republici Srpskoj, kao i tri kantonalna i tri okružna tužilaštva.</w:t>
      </w:r>
    </w:p>
    <w:p w14:paraId="326C4A4D" w14:textId="77777777" w:rsidR="0005456F" w:rsidRDefault="0005456F" w:rsidP="00D84178">
      <w:pPr>
        <w:spacing w:after="0" w:line="276" w:lineRule="auto"/>
        <w:jc w:val="both"/>
        <w:rPr>
          <w:rFonts w:ascii="Verdana" w:hAnsi="Verdana"/>
          <w:sz w:val="20"/>
          <w:szCs w:val="20"/>
          <w:lang w:val="hr-HR"/>
        </w:rPr>
      </w:pPr>
    </w:p>
    <w:p w14:paraId="7F6B3CAB" w14:textId="77777777" w:rsidR="0005456F" w:rsidRDefault="0005456F" w:rsidP="00D84178">
      <w:pPr>
        <w:spacing w:after="0" w:line="276" w:lineRule="auto"/>
        <w:jc w:val="both"/>
        <w:rPr>
          <w:rFonts w:ascii="Verdana" w:hAnsi="Verdana"/>
          <w:sz w:val="20"/>
          <w:szCs w:val="20"/>
          <w:lang w:val="hr-HR"/>
        </w:rPr>
      </w:pPr>
      <w:r>
        <w:rPr>
          <w:rFonts w:ascii="Verdana" w:hAnsi="Verdana"/>
          <w:sz w:val="20"/>
          <w:szCs w:val="20"/>
          <w:lang w:val="hr-HR"/>
        </w:rPr>
        <w:lastRenderedPageBreak/>
        <w:t>Analizom dostavljenih podataka utvrdilo se da se radi o dodatnim aktivnostima koje su spojive sa funkcijom sudije, odnosno tužioca i to su najčešće stručne i obrazovne aktivnosti.</w:t>
      </w:r>
    </w:p>
    <w:p w14:paraId="50035E03" w14:textId="77777777" w:rsidR="0005456F" w:rsidRDefault="0005456F" w:rsidP="00D84178">
      <w:pPr>
        <w:spacing w:after="0" w:line="276" w:lineRule="auto"/>
        <w:jc w:val="both"/>
        <w:rPr>
          <w:rFonts w:ascii="Verdana" w:hAnsi="Verdana"/>
          <w:sz w:val="20"/>
          <w:szCs w:val="20"/>
          <w:lang w:val="hr-HR"/>
        </w:rPr>
      </w:pPr>
    </w:p>
    <w:p w14:paraId="2C3A7687" w14:textId="77777777" w:rsidR="0005456F" w:rsidRDefault="00C607B7" w:rsidP="00D84178">
      <w:pPr>
        <w:spacing w:after="0" w:line="276" w:lineRule="auto"/>
        <w:jc w:val="both"/>
        <w:rPr>
          <w:rFonts w:ascii="Verdana" w:hAnsi="Verdana"/>
          <w:sz w:val="20"/>
          <w:szCs w:val="20"/>
          <w:lang w:val="hr-HR"/>
        </w:rPr>
      </w:pPr>
      <w:r>
        <w:rPr>
          <w:rFonts w:ascii="Verdana" w:hAnsi="Verdana"/>
          <w:sz w:val="20"/>
          <w:szCs w:val="20"/>
          <w:lang w:val="hr-HR"/>
        </w:rPr>
        <w:t>Takođe</w:t>
      </w:r>
      <w:r w:rsidR="0005456F">
        <w:rPr>
          <w:rFonts w:ascii="Verdana" w:hAnsi="Verdana"/>
          <w:sz w:val="20"/>
          <w:szCs w:val="20"/>
          <w:lang w:val="hr-HR"/>
        </w:rPr>
        <w:t xml:space="preserve">, NPF dostavili su podatke da li se radi o plaćenim ili neplaćenim aktivnostima uz navođenje visine naknade koju su primili za </w:t>
      </w:r>
      <w:r>
        <w:rPr>
          <w:rFonts w:ascii="Verdana" w:hAnsi="Verdana"/>
          <w:sz w:val="20"/>
          <w:szCs w:val="20"/>
          <w:lang w:val="hr-HR"/>
        </w:rPr>
        <w:t>plaćene</w:t>
      </w:r>
      <w:r w:rsidR="0005456F">
        <w:rPr>
          <w:rFonts w:ascii="Verdana" w:hAnsi="Verdana"/>
          <w:sz w:val="20"/>
          <w:szCs w:val="20"/>
          <w:lang w:val="hr-HR"/>
        </w:rPr>
        <w:t xml:space="preserve"> aktivnost.</w:t>
      </w:r>
    </w:p>
    <w:p w14:paraId="59E1DFED" w14:textId="77777777" w:rsidR="0005456F" w:rsidRDefault="0005456F" w:rsidP="00D84178">
      <w:pPr>
        <w:spacing w:after="0" w:line="276" w:lineRule="auto"/>
        <w:jc w:val="both"/>
        <w:rPr>
          <w:rFonts w:ascii="Verdana" w:hAnsi="Verdana"/>
          <w:sz w:val="20"/>
          <w:szCs w:val="20"/>
          <w:lang w:val="hr-HR"/>
        </w:rPr>
      </w:pPr>
    </w:p>
    <w:p w14:paraId="49585A7E" w14:textId="77777777" w:rsidR="0005456F" w:rsidRDefault="0005456F" w:rsidP="00D84178">
      <w:pPr>
        <w:spacing w:after="0" w:line="276" w:lineRule="auto"/>
        <w:jc w:val="both"/>
        <w:rPr>
          <w:rFonts w:ascii="Verdana" w:hAnsi="Verdana"/>
          <w:sz w:val="20"/>
          <w:szCs w:val="20"/>
          <w:lang w:val="hr-HR"/>
        </w:rPr>
      </w:pPr>
    </w:p>
    <w:p w14:paraId="5D9473FB" w14:textId="77777777" w:rsidR="008E1883" w:rsidRDefault="00BC2070" w:rsidP="00D84178">
      <w:pPr>
        <w:keepNext/>
        <w:spacing w:after="0" w:line="276" w:lineRule="auto"/>
        <w:jc w:val="both"/>
      </w:pPr>
      <w:r>
        <w:rPr>
          <w:rFonts w:ascii="Verdana" w:hAnsi="Verdana"/>
          <w:noProof/>
          <w:sz w:val="20"/>
          <w:szCs w:val="20"/>
          <w:lang w:val="bs-Latn-BA" w:eastAsia="bs-Latn-BA"/>
        </w:rPr>
        <w:drawing>
          <wp:inline distT="0" distB="0" distL="0" distR="0" wp14:anchorId="30EE0035" wp14:editId="1B28B815">
            <wp:extent cx="5760720" cy="3086077"/>
            <wp:effectExtent l="19050" t="19050" r="30480" b="1968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33246B7" w14:textId="6D091A5C" w:rsidR="008E1883" w:rsidRDefault="008E1883" w:rsidP="00D84178">
      <w:pPr>
        <w:pStyle w:val="Caption"/>
        <w:spacing w:line="276" w:lineRule="auto"/>
        <w:jc w:val="both"/>
      </w:pPr>
      <w:r>
        <w:t xml:space="preserve">Grafikon </w:t>
      </w:r>
      <w:fldSimple w:instr=" SEQ Grafikon \* ARABIC ">
        <w:r w:rsidR="00BD7835">
          <w:rPr>
            <w:noProof/>
          </w:rPr>
          <w:t>2</w:t>
        </w:r>
      </w:fldSimple>
      <w:r>
        <w:rPr>
          <w:lang w:val="bs-Latn-BA"/>
        </w:rPr>
        <w:t>: Dodatne aktivnosti sudija</w:t>
      </w:r>
    </w:p>
    <w:p w14:paraId="5ACFAED9" w14:textId="77777777" w:rsidR="00CE1656" w:rsidRPr="00CE1656" w:rsidRDefault="00651865" w:rsidP="00D84178">
      <w:pPr>
        <w:spacing w:after="0" w:line="276" w:lineRule="auto"/>
        <w:jc w:val="both"/>
        <w:rPr>
          <w:lang w:val="hr-HR"/>
        </w:rPr>
      </w:pPr>
      <w:r>
        <w:rPr>
          <w:rFonts w:ascii="Verdana" w:hAnsi="Verdana"/>
          <w:sz w:val="20"/>
          <w:szCs w:val="20"/>
          <w:lang w:val="hr-HR"/>
        </w:rPr>
        <w:br w:type="textWrapping" w:clear="all"/>
      </w:r>
    </w:p>
    <w:p w14:paraId="6C73A8E6" w14:textId="77777777" w:rsidR="008E1883" w:rsidRDefault="00BC2070" w:rsidP="00D84178">
      <w:pPr>
        <w:pStyle w:val="Heading3"/>
        <w:spacing w:line="276" w:lineRule="auto"/>
      </w:pPr>
      <w:bookmarkStart w:id="7" w:name="_Toc229748332"/>
      <w:r>
        <w:rPr>
          <w:rFonts w:ascii="Verdana" w:hAnsi="Verdana"/>
          <w:noProof/>
          <w:sz w:val="20"/>
          <w:szCs w:val="20"/>
          <w:lang w:val="bs-Latn-BA" w:eastAsia="bs-Latn-BA"/>
        </w:rPr>
        <w:drawing>
          <wp:inline distT="0" distB="0" distL="0" distR="0" wp14:anchorId="2864ABFB" wp14:editId="493DD367">
            <wp:extent cx="5621572" cy="3156668"/>
            <wp:effectExtent l="0" t="0" r="17780" b="571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7"/>
    </w:p>
    <w:p w14:paraId="2C23793D" w14:textId="7628BA7D" w:rsidR="00BC2070" w:rsidRDefault="008E1883" w:rsidP="00D84178">
      <w:pPr>
        <w:pStyle w:val="Caption"/>
        <w:spacing w:line="276" w:lineRule="auto"/>
        <w:rPr>
          <w:rFonts w:ascii="Verdana" w:hAnsi="Verdana" w:cs="Calibri"/>
          <w:b/>
          <w:bCs w:val="0"/>
          <w:lang w:val="hr-HR"/>
        </w:rPr>
      </w:pPr>
      <w:r>
        <w:t xml:space="preserve">Grafikon </w:t>
      </w:r>
      <w:fldSimple w:instr=" SEQ Grafikon \* ARABIC ">
        <w:r w:rsidR="00BD7835">
          <w:rPr>
            <w:noProof/>
          </w:rPr>
          <w:t>3</w:t>
        </w:r>
      </w:fldSimple>
      <w:r>
        <w:rPr>
          <w:lang w:val="bs-Latn-BA"/>
        </w:rPr>
        <w:t>: Dodatne aktivnosti tužilaca</w:t>
      </w:r>
    </w:p>
    <w:p w14:paraId="67EEF266" w14:textId="77777777" w:rsidR="00947CE0" w:rsidRDefault="00EC3346" w:rsidP="00D84178">
      <w:pPr>
        <w:pStyle w:val="Heading3"/>
        <w:spacing w:line="276" w:lineRule="auto"/>
        <w:rPr>
          <w:lang w:val="hr-HR"/>
        </w:rPr>
      </w:pPr>
      <w:bookmarkStart w:id="8" w:name="_Toc229748333"/>
      <w:r w:rsidRPr="00921582">
        <w:rPr>
          <w:lang w:val="hr-HR"/>
        </w:rPr>
        <w:lastRenderedPageBreak/>
        <w:t xml:space="preserve">1.3 </w:t>
      </w:r>
      <w:r w:rsidR="00947CE0" w:rsidRPr="00921582">
        <w:rPr>
          <w:lang w:val="hr-HR"/>
        </w:rPr>
        <w:t xml:space="preserve">Evidencije o istupima NPF u </w:t>
      </w:r>
      <w:r w:rsidR="00947CE0" w:rsidRPr="003F7EDC">
        <w:t>javnosti</w:t>
      </w:r>
      <w:bookmarkEnd w:id="8"/>
    </w:p>
    <w:p w14:paraId="54D619B5" w14:textId="77777777" w:rsidR="0016184B" w:rsidRPr="0016184B" w:rsidRDefault="0016184B" w:rsidP="00D84178">
      <w:pPr>
        <w:pStyle w:val="NormalWeb"/>
        <w:spacing w:line="276" w:lineRule="auto"/>
        <w:jc w:val="both"/>
        <w:rPr>
          <w:rFonts w:ascii="Verdana" w:eastAsiaTheme="minorHAnsi" w:hAnsi="Verdana" w:cstheme="minorBidi"/>
          <w:sz w:val="20"/>
          <w:szCs w:val="20"/>
          <w:lang w:val="hr-HR" w:eastAsia="en-US"/>
        </w:rPr>
      </w:pPr>
      <w:r w:rsidRPr="0016184B">
        <w:rPr>
          <w:rFonts w:ascii="Verdana" w:eastAsiaTheme="minorHAnsi" w:hAnsi="Verdana" w:cstheme="minorBidi"/>
          <w:sz w:val="20"/>
          <w:szCs w:val="20"/>
          <w:lang w:val="hr-HR" w:eastAsia="en-US"/>
        </w:rPr>
        <w:t>Analizom dostavljenih podataka koji se odnose na istupe nosilaca pravosudnih funkcija u javnosti utvrđeno je da je 13 sudova i 16 tužilaštava evidentiralo pojedinačne javne istupe NPF. Ukupno je evidentirano 111 javnih istupa od strane 49 nosilaca pravosudnih funkcija, od čega su sudovi evidentirali 26 javnih istupa koji se odnose na 25 sudija, dok su tužilaštva evidentirala 85 javnih istupa od strane 24 tužioca. Analizom je također utvrđeno da su određeni nosioci pravosudnih funkcija imali dva ili više javnih istupa.</w:t>
      </w:r>
    </w:p>
    <w:p w14:paraId="34A508C0" w14:textId="77777777" w:rsidR="0016184B" w:rsidRPr="0016184B" w:rsidRDefault="0016184B" w:rsidP="00D84178">
      <w:pPr>
        <w:pStyle w:val="NormalWeb"/>
        <w:spacing w:line="276" w:lineRule="auto"/>
        <w:jc w:val="both"/>
        <w:rPr>
          <w:rFonts w:ascii="Verdana" w:eastAsiaTheme="minorHAnsi" w:hAnsi="Verdana" w:cstheme="minorBidi"/>
          <w:sz w:val="20"/>
          <w:szCs w:val="20"/>
          <w:lang w:val="hr-HR" w:eastAsia="en-US"/>
        </w:rPr>
      </w:pPr>
      <w:r w:rsidRPr="0016184B">
        <w:rPr>
          <w:rFonts w:ascii="Verdana" w:eastAsiaTheme="minorHAnsi" w:hAnsi="Verdana" w:cstheme="minorBidi"/>
          <w:sz w:val="20"/>
          <w:szCs w:val="20"/>
          <w:lang w:val="hr-HR" w:eastAsia="en-US"/>
        </w:rPr>
        <w:t>Evidentirani javni istupi uglavnom su se odnosili na predstavljanje izvještaja o radu sudova, održavanje konferencija za medije, posjete ministarstvima pravde, komentare povodom donošenja novog zakona o zaštiti od nasilja u porodici, dok se jedan javni istup odnosio na izvršenje sankcije rada za opće dobro na slobodi. Također, evidentiran je i jedan istup u javnosti od strane uposlenika pravosudne institucije, koji se odnosio na saopštenje povodom donošenja presude od posebnog interesa za javnost.</w:t>
      </w:r>
    </w:p>
    <w:p w14:paraId="3A4D78FB" w14:textId="77777777" w:rsidR="00C607B7" w:rsidRDefault="003F7EDC" w:rsidP="00D84178">
      <w:pPr>
        <w:spacing w:line="276" w:lineRule="auto"/>
        <w:jc w:val="both"/>
        <w:rPr>
          <w:rFonts w:ascii="Verdana" w:hAnsi="Verdana"/>
          <w:sz w:val="20"/>
          <w:szCs w:val="20"/>
          <w:lang w:val="hr-HR"/>
        </w:rPr>
      </w:pPr>
      <w:r>
        <w:rPr>
          <w:rFonts w:ascii="Verdana" w:hAnsi="Verdana"/>
          <w:sz w:val="20"/>
          <w:szCs w:val="20"/>
          <w:lang w:val="hr-HR"/>
        </w:rPr>
        <w:t>U nastavku je prikazan broj istupa u javnosti nosilaca pravosudnih funkcija, ukupno i po funkciji:</w:t>
      </w:r>
    </w:p>
    <w:p w14:paraId="4926F6BF" w14:textId="77777777" w:rsidR="003F7EDC" w:rsidRDefault="00522BD7" w:rsidP="00D84178">
      <w:pPr>
        <w:keepNext/>
        <w:spacing w:line="276" w:lineRule="auto"/>
        <w:jc w:val="both"/>
      </w:pPr>
      <w:r>
        <w:rPr>
          <w:rFonts w:ascii="Verdana" w:hAnsi="Verdana"/>
          <w:noProof/>
          <w:sz w:val="20"/>
          <w:szCs w:val="20"/>
          <w:lang w:val="bs-Latn-BA" w:eastAsia="bs-Latn-BA"/>
        </w:rPr>
        <w:drawing>
          <wp:inline distT="0" distB="0" distL="0" distR="0" wp14:anchorId="135FAF04" wp14:editId="5851A79D">
            <wp:extent cx="5764530" cy="2901950"/>
            <wp:effectExtent l="0" t="0" r="762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6D4D4C0" w14:textId="179B0B9E" w:rsidR="00522BD7" w:rsidRDefault="003F7EDC" w:rsidP="00D84178">
      <w:pPr>
        <w:pStyle w:val="Caption"/>
        <w:spacing w:line="276" w:lineRule="auto"/>
        <w:jc w:val="both"/>
        <w:rPr>
          <w:rFonts w:ascii="Verdana" w:hAnsi="Verdana"/>
          <w:sz w:val="20"/>
          <w:szCs w:val="20"/>
          <w:lang w:val="hr-HR"/>
        </w:rPr>
      </w:pPr>
      <w:r>
        <w:t xml:space="preserve">Grafikon </w:t>
      </w:r>
      <w:fldSimple w:instr=" SEQ Grafikon \* ARABIC ">
        <w:r w:rsidR="00BD7835">
          <w:rPr>
            <w:noProof/>
          </w:rPr>
          <w:t>4</w:t>
        </w:r>
      </w:fldSimple>
      <w:r>
        <w:rPr>
          <w:lang w:val="bs-Latn-BA"/>
        </w:rPr>
        <w:t>: Prikaz istupa u javnosti nosilaca pravosudnih funkcija</w:t>
      </w:r>
    </w:p>
    <w:p w14:paraId="5DF2C202" w14:textId="77777777" w:rsidR="00CE1656" w:rsidRPr="00592E39" w:rsidRDefault="00CE1656" w:rsidP="00D84178">
      <w:pPr>
        <w:pStyle w:val="ListParagraph"/>
        <w:spacing w:line="276" w:lineRule="auto"/>
        <w:ind w:firstLine="0"/>
        <w:jc w:val="both"/>
        <w:rPr>
          <w:rFonts w:ascii="Gill Sans MT" w:hAnsi="Gill Sans MT" w:cstheme="minorHAnsi"/>
          <w:strike/>
          <w:sz w:val="22"/>
          <w:lang w:val="hr-HR"/>
        </w:rPr>
      </w:pPr>
    </w:p>
    <w:p w14:paraId="4509B519" w14:textId="77777777" w:rsidR="00E6174F" w:rsidRPr="00921582" w:rsidRDefault="00EC3346" w:rsidP="00D84178">
      <w:pPr>
        <w:pStyle w:val="Heading3"/>
        <w:spacing w:line="276" w:lineRule="auto"/>
      </w:pPr>
      <w:bookmarkStart w:id="9" w:name="_Toc229748334"/>
      <w:r w:rsidRPr="00921582">
        <w:rPr>
          <w:lang w:val="bs-Latn-BA"/>
        </w:rPr>
        <w:t xml:space="preserve">1.4. </w:t>
      </w:r>
      <w:r w:rsidR="00E6174F" w:rsidRPr="00921582">
        <w:t>Evidencija o prijavama i izrečenim disciplinskim mjerama protiv osoblja koje radi pod nadzorom NPF</w:t>
      </w:r>
      <w:bookmarkEnd w:id="9"/>
    </w:p>
    <w:p w14:paraId="207548EA" w14:textId="77777777" w:rsidR="00E6174F" w:rsidRPr="00E6174F" w:rsidRDefault="00E6174F" w:rsidP="00D84178">
      <w:pPr>
        <w:spacing w:line="276" w:lineRule="auto"/>
      </w:pPr>
    </w:p>
    <w:p w14:paraId="4E7B01C3" w14:textId="77777777" w:rsidR="00D44E8C" w:rsidRDefault="00592E39" w:rsidP="00D84178">
      <w:pPr>
        <w:spacing w:line="276" w:lineRule="auto"/>
        <w:jc w:val="both"/>
        <w:rPr>
          <w:rFonts w:ascii="Verdana" w:hAnsi="Verdana"/>
          <w:sz w:val="20"/>
          <w:szCs w:val="20"/>
          <w:lang w:val="hr-HR"/>
        </w:rPr>
      </w:pPr>
      <w:r w:rsidRPr="00A070FF">
        <w:rPr>
          <w:rFonts w:ascii="Verdana" w:hAnsi="Verdana"/>
          <w:sz w:val="20"/>
          <w:szCs w:val="20"/>
          <w:lang w:val="bs-Latn-BA"/>
        </w:rPr>
        <w:t xml:space="preserve">Evidencije o prijavama i izrečenim disciplinskim mjerama protiv osoblja </w:t>
      </w:r>
      <w:r w:rsidR="000F3FFF">
        <w:rPr>
          <w:rFonts w:ascii="Verdana" w:hAnsi="Verdana"/>
          <w:sz w:val="20"/>
          <w:szCs w:val="20"/>
          <w:lang w:val="bs-Latn-BA"/>
        </w:rPr>
        <w:t>koje radi pod nadzorom nosila</w:t>
      </w:r>
      <w:r w:rsidR="00A070FF" w:rsidRPr="00A070FF">
        <w:rPr>
          <w:rFonts w:ascii="Verdana" w:hAnsi="Verdana"/>
          <w:sz w:val="20"/>
          <w:szCs w:val="20"/>
          <w:lang w:val="bs-Latn-BA"/>
        </w:rPr>
        <w:t>ca pravosudne funkcije dostavil</w:t>
      </w:r>
      <w:r w:rsidR="00555CA3">
        <w:rPr>
          <w:rFonts w:ascii="Verdana" w:hAnsi="Verdana"/>
          <w:sz w:val="20"/>
          <w:szCs w:val="20"/>
          <w:lang w:val="bs-Latn-BA"/>
        </w:rPr>
        <w:t>o</w:t>
      </w:r>
      <w:r w:rsidR="00D44E8C">
        <w:rPr>
          <w:rFonts w:ascii="Verdana" w:hAnsi="Verdana"/>
          <w:sz w:val="20"/>
          <w:szCs w:val="20"/>
          <w:lang w:val="bs-Latn-BA"/>
        </w:rPr>
        <w:t xml:space="preserve"> je 7</w:t>
      </w:r>
      <w:r w:rsidR="00A070FF" w:rsidRPr="00A070FF">
        <w:rPr>
          <w:rFonts w:ascii="Verdana" w:hAnsi="Verdana"/>
          <w:sz w:val="20"/>
          <w:szCs w:val="20"/>
          <w:lang w:val="bs-Latn-BA"/>
        </w:rPr>
        <w:t xml:space="preserve"> pravosudn</w:t>
      </w:r>
      <w:r w:rsidR="00D44E8C">
        <w:rPr>
          <w:rFonts w:ascii="Verdana" w:hAnsi="Verdana"/>
          <w:sz w:val="20"/>
          <w:szCs w:val="20"/>
          <w:lang w:val="bs-Latn-BA"/>
        </w:rPr>
        <w:t>ih</w:t>
      </w:r>
      <w:r w:rsidR="00A070FF" w:rsidRPr="00A070FF">
        <w:rPr>
          <w:rFonts w:ascii="Verdana" w:hAnsi="Verdana"/>
          <w:sz w:val="20"/>
          <w:szCs w:val="20"/>
          <w:lang w:val="bs-Latn-BA"/>
        </w:rPr>
        <w:t xml:space="preserve"> institucij</w:t>
      </w:r>
      <w:r w:rsidR="00D44E8C">
        <w:rPr>
          <w:rFonts w:ascii="Verdana" w:hAnsi="Verdana"/>
          <w:sz w:val="20"/>
          <w:szCs w:val="20"/>
          <w:lang w:val="bs-Latn-BA"/>
        </w:rPr>
        <w:t>a</w:t>
      </w:r>
      <w:r w:rsidR="00A070FF" w:rsidRPr="00A070FF">
        <w:rPr>
          <w:rFonts w:ascii="Verdana" w:hAnsi="Verdana"/>
          <w:sz w:val="20"/>
          <w:szCs w:val="20"/>
          <w:lang w:val="bs-Latn-BA"/>
        </w:rPr>
        <w:t xml:space="preserve">. </w:t>
      </w:r>
      <w:r w:rsidR="00E6174F" w:rsidRPr="00A070FF">
        <w:rPr>
          <w:rFonts w:ascii="Verdana" w:hAnsi="Verdana"/>
          <w:sz w:val="20"/>
          <w:szCs w:val="20"/>
          <w:lang w:val="hr-HR"/>
        </w:rPr>
        <w:t xml:space="preserve">Prijave su se odnosile na </w:t>
      </w:r>
      <w:r w:rsidR="00D44E8C">
        <w:rPr>
          <w:rFonts w:ascii="Verdana" w:hAnsi="Verdana"/>
          <w:sz w:val="20"/>
          <w:szCs w:val="20"/>
          <w:lang w:val="hr-HR"/>
        </w:rPr>
        <w:t>10</w:t>
      </w:r>
      <w:r w:rsidR="00770608" w:rsidRPr="00A070FF">
        <w:rPr>
          <w:rFonts w:ascii="Verdana" w:hAnsi="Verdana"/>
          <w:sz w:val="20"/>
          <w:szCs w:val="20"/>
          <w:lang w:val="hr-HR"/>
        </w:rPr>
        <w:t xml:space="preserve"> </w:t>
      </w:r>
      <w:r w:rsidR="00E6174F" w:rsidRPr="00A070FF">
        <w:rPr>
          <w:rFonts w:ascii="Verdana" w:hAnsi="Verdana"/>
          <w:sz w:val="20"/>
          <w:szCs w:val="20"/>
          <w:lang w:val="hr-HR"/>
        </w:rPr>
        <w:t xml:space="preserve">uposlenika. Vrsta prekršaja </w:t>
      </w:r>
      <w:r w:rsidR="00770608" w:rsidRPr="00A070FF">
        <w:rPr>
          <w:rFonts w:ascii="Verdana" w:hAnsi="Verdana"/>
          <w:sz w:val="20"/>
          <w:szCs w:val="20"/>
          <w:lang w:val="hr-HR"/>
        </w:rPr>
        <w:t>je evidentirana pod opcijom ostalo</w:t>
      </w:r>
      <w:r w:rsidR="00D44E8C">
        <w:rPr>
          <w:rFonts w:ascii="Verdana" w:hAnsi="Verdana"/>
          <w:sz w:val="20"/>
          <w:szCs w:val="20"/>
          <w:lang w:val="hr-HR"/>
        </w:rPr>
        <w:t xml:space="preserve"> i jedan pod </w:t>
      </w:r>
      <w:r w:rsidR="00F934EA">
        <w:rPr>
          <w:rFonts w:ascii="Verdana" w:hAnsi="Verdana"/>
          <w:sz w:val="20"/>
          <w:szCs w:val="20"/>
          <w:lang w:val="hr-HR"/>
        </w:rPr>
        <w:t>javno ili privatn</w:t>
      </w:r>
      <w:r w:rsidR="000F3FFF">
        <w:rPr>
          <w:rFonts w:ascii="Verdana" w:hAnsi="Verdana"/>
          <w:sz w:val="20"/>
          <w:szCs w:val="20"/>
          <w:lang w:val="hr-HR"/>
        </w:rPr>
        <w:t>o komentarisanje nezavršenih, odnosno</w:t>
      </w:r>
      <w:r w:rsidR="00F934EA">
        <w:rPr>
          <w:rFonts w:ascii="Verdana" w:hAnsi="Verdana"/>
          <w:sz w:val="20"/>
          <w:szCs w:val="20"/>
          <w:lang w:val="hr-HR"/>
        </w:rPr>
        <w:t xml:space="preserve"> predmeta u toku.</w:t>
      </w:r>
      <w:r w:rsidR="003D4EB2" w:rsidRPr="00A070FF">
        <w:rPr>
          <w:rFonts w:ascii="Verdana" w:hAnsi="Verdana"/>
          <w:sz w:val="20"/>
          <w:szCs w:val="20"/>
          <w:lang w:val="hr-HR"/>
        </w:rPr>
        <w:t xml:space="preserve"> </w:t>
      </w:r>
    </w:p>
    <w:p w14:paraId="5FFF7DFD" w14:textId="77777777" w:rsidR="00A070FF" w:rsidRDefault="00926E7E" w:rsidP="00D84178">
      <w:pPr>
        <w:spacing w:line="276" w:lineRule="auto"/>
        <w:jc w:val="both"/>
        <w:rPr>
          <w:rFonts w:ascii="Verdana" w:hAnsi="Verdana"/>
          <w:sz w:val="20"/>
          <w:szCs w:val="20"/>
          <w:lang w:val="hr-HR"/>
        </w:rPr>
      </w:pPr>
      <w:r w:rsidRPr="00A070FF">
        <w:rPr>
          <w:rFonts w:ascii="Verdana" w:hAnsi="Verdana"/>
          <w:sz w:val="20"/>
          <w:szCs w:val="20"/>
          <w:lang w:val="hr-HR"/>
        </w:rPr>
        <w:lastRenderedPageBreak/>
        <w:t xml:space="preserve">Podaci o izrečenim disciplinskim mjerama </w:t>
      </w:r>
      <w:r w:rsidR="00770608" w:rsidRPr="00A070FF">
        <w:rPr>
          <w:rFonts w:ascii="Verdana" w:hAnsi="Verdana"/>
          <w:sz w:val="20"/>
          <w:szCs w:val="20"/>
          <w:lang w:val="hr-HR"/>
        </w:rPr>
        <w:t xml:space="preserve">su sljedeći: </w:t>
      </w:r>
      <w:r w:rsidR="00F934EA">
        <w:rPr>
          <w:rFonts w:ascii="Verdana" w:hAnsi="Verdana"/>
          <w:sz w:val="20"/>
          <w:szCs w:val="20"/>
          <w:lang w:val="hr-HR"/>
        </w:rPr>
        <w:t>suspenzija sa radnog mjesta (1); novčana kazna (1); opomena</w:t>
      </w:r>
      <w:r w:rsidR="00770608" w:rsidRPr="00A070FF">
        <w:rPr>
          <w:rFonts w:ascii="Verdana" w:hAnsi="Verdana"/>
          <w:sz w:val="20"/>
          <w:szCs w:val="20"/>
          <w:lang w:val="hr-HR"/>
        </w:rPr>
        <w:t xml:space="preserve"> (2)</w:t>
      </w:r>
      <w:r w:rsidR="00F934EA">
        <w:rPr>
          <w:rFonts w:ascii="Verdana" w:hAnsi="Verdana"/>
          <w:sz w:val="20"/>
          <w:szCs w:val="20"/>
          <w:lang w:val="hr-HR"/>
        </w:rPr>
        <w:t>;</w:t>
      </w:r>
      <w:r w:rsidR="00770608" w:rsidRPr="00A070FF">
        <w:rPr>
          <w:rFonts w:ascii="Verdana" w:hAnsi="Verdana"/>
          <w:sz w:val="20"/>
          <w:szCs w:val="20"/>
          <w:lang w:val="hr-HR"/>
        </w:rPr>
        <w:t xml:space="preserve"> pismena opomena </w:t>
      </w:r>
      <w:r w:rsidR="00F934EA">
        <w:rPr>
          <w:rFonts w:ascii="Verdana" w:hAnsi="Verdana"/>
          <w:sz w:val="20"/>
          <w:szCs w:val="20"/>
          <w:lang w:val="hr-HR"/>
        </w:rPr>
        <w:t>(1</w:t>
      </w:r>
      <w:r w:rsidR="00592E39" w:rsidRPr="00A070FF">
        <w:rPr>
          <w:rFonts w:ascii="Verdana" w:hAnsi="Verdana"/>
          <w:sz w:val="20"/>
          <w:szCs w:val="20"/>
          <w:lang w:val="hr-HR"/>
        </w:rPr>
        <w:t>)</w:t>
      </w:r>
      <w:r w:rsidR="00F934EA">
        <w:rPr>
          <w:rFonts w:ascii="Verdana" w:hAnsi="Verdana"/>
          <w:sz w:val="20"/>
          <w:szCs w:val="20"/>
          <w:lang w:val="hr-HR"/>
        </w:rPr>
        <w:t>; pismeno upozorenje (1)</w:t>
      </w:r>
      <w:r w:rsidR="00592E39" w:rsidRPr="00A070FF">
        <w:rPr>
          <w:rFonts w:ascii="Verdana" w:hAnsi="Verdana"/>
          <w:sz w:val="20"/>
          <w:szCs w:val="20"/>
          <w:lang w:val="hr-HR"/>
        </w:rPr>
        <w:t xml:space="preserve"> i javna pismena opomena (</w:t>
      </w:r>
      <w:r w:rsidR="00F934EA">
        <w:rPr>
          <w:rFonts w:ascii="Verdana" w:hAnsi="Verdana"/>
          <w:sz w:val="20"/>
          <w:szCs w:val="20"/>
          <w:lang w:val="hr-HR"/>
        </w:rPr>
        <w:t>2</w:t>
      </w:r>
      <w:r w:rsidR="00592E39" w:rsidRPr="00A070FF">
        <w:rPr>
          <w:rFonts w:ascii="Verdana" w:hAnsi="Verdana"/>
          <w:sz w:val="20"/>
          <w:szCs w:val="20"/>
          <w:lang w:val="hr-HR"/>
        </w:rPr>
        <w:t>)</w:t>
      </w:r>
      <w:r w:rsidR="00F934EA">
        <w:rPr>
          <w:rFonts w:ascii="Verdana" w:hAnsi="Verdana"/>
          <w:sz w:val="20"/>
          <w:szCs w:val="20"/>
          <w:lang w:val="hr-HR"/>
        </w:rPr>
        <w:t>. Jedan postupak je obustavljen i u jednom</w:t>
      </w:r>
      <w:r w:rsidR="00C607B7">
        <w:rPr>
          <w:rFonts w:ascii="Verdana" w:hAnsi="Verdana"/>
          <w:sz w:val="20"/>
          <w:szCs w:val="20"/>
          <w:lang w:val="hr-HR"/>
        </w:rPr>
        <w:t xml:space="preserve"> postupku</w:t>
      </w:r>
      <w:r w:rsidR="00F934EA">
        <w:rPr>
          <w:rFonts w:ascii="Verdana" w:hAnsi="Verdana"/>
          <w:sz w:val="20"/>
          <w:szCs w:val="20"/>
          <w:lang w:val="hr-HR"/>
        </w:rPr>
        <w:t xml:space="preserve"> zaposleni </w:t>
      </w:r>
      <w:r w:rsidR="00C607B7">
        <w:rPr>
          <w:rFonts w:ascii="Verdana" w:hAnsi="Verdana"/>
          <w:sz w:val="20"/>
          <w:szCs w:val="20"/>
          <w:lang w:val="hr-HR"/>
        </w:rPr>
        <w:t xml:space="preserve">je </w:t>
      </w:r>
      <w:r w:rsidR="00F934EA">
        <w:rPr>
          <w:rFonts w:ascii="Verdana" w:hAnsi="Verdana"/>
          <w:sz w:val="20"/>
          <w:szCs w:val="20"/>
          <w:lang w:val="hr-HR"/>
        </w:rPr>
        <w:t xml:space="preserve">oslobođen </w:t>
      </w:r>
      <w:r w:rsidR="00C607B7">
        <w:rPr>
          <w:rFonts w:ascii="Verdana" w:hAnsi="Verdana"/>
          <w:sz w:val="20"/>
          <w:szCs w:val="20"/>
          <w:lang w:val="hr-HR"/>
        </w:rPr>
        <w:t>od odgovornosti.</w:t>
      </w:r>
    </w:p>
    <w:p w14:paraId="67913F2E" w14:textId="77777777" w:rsidR="003F7EDC" w:rsidRDefault="003F7EDC" w:rsidP="00D84178">
      <w:pPr>
        <w:pStyle w:val="Heading3"/>
        <w:spacing w:line="276" w:lineRule="auto"/>
        <w:rPr>
          <w:rFonts w:ascii="Verdana" w:hAnsi="Verdana" w:cs="Calibri"/>
          <w:b/>
          <w:bCs w:val="0"/>
          <w:sz w:val="22"/>
          <w:lang w:val="bs-Latn-BA"/>
        </w:rPr>
      </w:pPr>
    </w:p>
    <w:p w14:paraId="4A31B39B" w14:textId="77777777" w:rsidR="00A049FF" w:rsidRPr="00921582" w:rsidRDefault="00EC3346" w:rsidP="00D84178">
      <w:pPr>
        <w:pStyle w:val="Heading3"/>
        <w:spacing w:line="276" w:lineRule="auto"/>
      </w:pPr>
      <w:bookmarkStart w:id="10" w:name="_Toc229748335"/>
      <w:r w:rsidRPr="00921582">
        <w:rPr>
          <w:lang w:val="bs-Latn-BA"/>
        </w:rPr>
        <w:t xml:space="preserve">1.5 </w:t>
      </w:r>
      <w:r w:rsidR="00A049FF" w:rsidRPr="00921582">
        <w:t>Evidencija o ostvarenoj ex parte komunikaciji NPF i uposlenika</w:t>
      </w:r>
      <w:bookmarkEnd w:id="10"/>
    </w:p>
    <w:p w14:paraId="6FC430B9" w14:textId="77777777" w:rsidR="00A049FF" w:rsidRPr="00A049FF" w:rsidRDefault="00A049FF" w:rsidP="00D84178">
      <w:pPr>
        <w:spacing w:line="276" w:lineRule="auto"/>
      </w:pPr>
    </w:p>
    <w:p w14:paraId="548E2D3B" w14:textId="77777777" w:rsidR="00A049FF" w:rsidRPr="00FD59C0" w:rsidRDefault="00A528DC" w:rsidP="00D84178">
      <w:pPr>
        <w:spacing w:line="276" w:lineRule="auto"/>
        <w:jc w:val="both"/>
        <w:rPr>
          <w:rFonts w:ascii="Verdana" w:hAnsi="Verdana" w:cstheme="minorHAnsi"/>
          <w:sz w:val="20"/>
          <w:szCs w:val="20"/>
          <w:lang w:val="hr-HR"/>
        </w:rPr>
      </w:pPr>
      <w:r w:rsidRPr="00FD59C0">
        <w:rPr>
          <w:rFonts w:ascii="Verdana" w:hAnsi="Verdana" w:cstheme="minorHAnsi"/>
          <w:sz w:val="20"/>
          <w:szCs w:val="20"/>
          <w:lang w:val="hr-HR"/>
        </w:rPr>
        <w:t>Sv</w:t>
      </w:r>
      <w:r w:rsidR="00A049FF" w:rsidRPr="00FD59C0">
        <w:rPr>
          <w:rFonts w:ascii="Verdana" w:hAnsi="Verdana" w:cstheme="minorHAnsi"/>
          <w:sz w:val="20"/>
          <w:szCs w:val="20"/>
          <w:lang w:val="hr-HR"/>
        </w:rPr>
        <w:t>aka komunikacija u vezi postupk</w:t>
      </w:r>
      <w:r w:rsidR="000F3FFF">
        <w:rPr>
          <w:rFonts w:ascii="Verdana" w:hAnsi="Verdana" w:cstheme="minorHAnsi"/>
          <w:sz w:val="20"/>
          <w:szCs w:val="20"/>
          <w:lang w:val="hr-HR"/>
        </w:rPr>
        <w:t>a,</w:t>
      </w:r>
      <w:r w:rsidR="00A049FF" w:rsidRPr="00FD59C0">
        <w:rPr>
          <w:rFonts w:ascii="Verdana" w:hAnsi="Verdana" w:cstheme="minorHAnsi"/>
          <w:sz w:val="20"/>
          <w:szCs w:val="20"/>
          <w:lang w:val="hr-HR"/>
        </w:rPr>
        <w:t xml:space="preserve"> sa bilo kojom strankom u sporu/postupku bez prisustva druge stranke</w:t>
      </w:r>
      <w:r w:rsidR="00FD59C0" w:rsidRPr="00FD59C0">
        <w:rPr>
          <w:rFonts w:ascii="Verdana" w:hAnsi="Verdana" w:cstheme="minorHAnsi"/>
          <w:sz w:val="20"/>
          <w:szCs w:val="20"/>
          <w:lang w:val="hr-HR"/>
        </w:rPr>
        <w:t xml:space="preserve"> predstavlja </w:t>
      </w:r>
      <w:r w:rsidR="00FD59C0" w:rsidRPr="003F7EDC">
        <w:rPr>
          <w:rFonts w:ascii="Verdana" w:hAnsi="Verdana" w:cstheme="minorHAnsi"/>
          <w:i/>
          <w:sz w:val="20"/>
          <w:szCs w:val="20"/>
          <w:lang w:val="hr-HR"/>
        </w:rPr>
        <w:t>ex</w:t>
      </w:r>
      <w:r w:rsidRPr="003F7EDC">
        <w:rPr>
          <w:rFonts w:ascii="Verdana" w:hAnsi="Verdana" w:cstheme="minorHAnsi"/>
          <w:i/>
          <w:sz w:val="20"/>
          <w:szCs w:val="20"/>
          <w:lang w:val="hr-HR"/>
        </w:rPr>
        <w:t xml:space="preserve"> parte</w:t>
      </w:r>
      <w:r w:rsidRPr="00FD59C0">
        <w:rPr>
          <w:rFonts w:ascii="Verdana" w:hAnsi="Verdana" w:cstheme="minorHAnsi"/>
          <w:sz w:val="20"/>
          <w:szCs w:val="20"/>
          <w:lang w:val="hr-HR"/>
        </w:rPr>
        <w:t xml:space="preserve"> komunikaciju prema Smjernicama o sprečavanju sukoba interesa</w:t>
      </w:r>
      <w:r w:rsidR="00A049FF" w:rsidRPr="00FD59C0">
        <w:rPr>
          <w:rFonts w:ascii="Verdana" w:hAnsi="Verdana" w:cstheme="minorHAnsi"/>
          <w:sz w:val="20"/>
          <w:szCs w:val="20"/>
          <w:lang w:val="hr-HR"/>
        </w:rPr>
        <w:t xml:space="preserve">. </w:t>
      </w:r>
    </w:p>
    <w:p w14:paraId="6D6A0C5E" w14:textId="77777777" w:rsidR="00A049FF" w:rsidRDefault="00F934EA" w:rsidP="00D84178">
      <w:pPr>
        <w:spacing w:line="276" w:lineRule="auto"/>
        <w:jc w:val="both"/>
        <w:rPr>
          <w:rFonts w:ascii="Verdana" w:hAnsi="Verdana" w:cstheme="minorHAnsi"/>
          <w:sz w:val="20"/>
          <w:szCs w:val="20"/>
          <w:lang w:val="hr-HR"/>
        </w:rPr>
      </w:pPr>
      <w:r>
        <w:rPr>
          <w:rFonts w:ascii="Verdana" w:hAnsi="Verdana" w:cstheme="minorHAnsi"/>
          <w:sz w:val="20"/>
          <w:szCs w:val="20"/>
          <w:lang w:val="hr-HR"/>
        </w:rPr>
        <w:t>Dvije</w:t>
      </w:r>
      <w:r w:rsidR="00A049FF" w:rsidRPr="00FD59C0">
        <w:rPr>
          <w:rFonts w:ascii="Verdana" w:hAnsi="Verdana" w:cstheme="minorHAnsi"/>
          <w:sz w:val="20"/>
          <w:szCs w:val="20"/>
          <w:lang w:val="hr-HR"/>
        </w:rPr>
        <w:t xml:space="preserve"> pravosudne institucije su evidentirale </w:t>
      </w:r>
      <w:r w:rsidR="00334BAF" w:rsidRPr="00FD59C0">
        <w:rPr>
          <w:rFonts w:ascii="Verdana" w:hAnsi="Verdana" w:cstheme="minorHAnsi"/>
          <w:i/>
          <w:iCs/>
          <w:sz w:val="20"/>
          <w:szCs w:val="20"/>
          <w:lang w:val="hr-HR"/>
        </w:rPr>
        <w:t xml:space="preserve">ex parte </w:t>
      </w:r>
      <w:r w:rsidR="00A049FF" w:rsidRPr="00FD59C0">
        <w:rPr>
          <w:rFonts w:ascii="Verdana" w:hAnsi="Verdana" w:cstheme="minorHAnsi"/>
          <w:sz w:val="20"/>
          <w:szCs w:val="20"/>
          <w:lang w:val="hr-HR"/>
        </w:rPr>
        <w:t>komunikaciju</w:t>
      </w:r>
      <w:r w:rsidR="00334BAF">
        <w:rPr>
          <w:rFonts w:ascii="Verdana" w:hAnsi="Verdana" w:cstheme="minorHAnsi"/>
          <w:sz w:val="20"/>
          <w:szCs w:val="20"/>
          <w:lang w:val="hr-HR"/>
        </w:rPr>
        <w:t>,</w:t>
      </w:r>
      <w:r w:rsidR="00A049FF" w:rsidRPr="00FD59C0">
        <w:rPr>
          <w:rFonts w:ascii="Verdana" w:hAnsi="Verdana" w:cstheme="minorHAnsi"/>
          <w:sz w:val="20"/>
          <w:szCs w:val="20"/>
          <w:lang w:val="hr-HR"/>
        </w:rPr>
        <w:t xml:space="preserve"> dajući potrebne po</w:t>
      </w:r>
      <w:r w:rsidR="00135B0A">
        <w:rPr>
          <w:rFonts w:ascii="Verdana" w:hAnsi="Verdana" w:cstheme="minorHAnsi"/>
          <w:sz w:val="20"/>
          <w:szCs w:val="20"/>
          <w:lang w:val="hr-HR"/>
        </w:rPr>
        <w:t>datke koje zahtijeva evidencija</w:t>
      </w:r>
      <w:r>
        <w:rPr>
          <w:rFonts w:ascii="Verdana" w:hAnsi="Verdana" w:cstheme="minorHAnsi"/>
          <w:sz w:val="20"/>
          <w:szCs w:val="20"/>
          <w:lang w:val="hr-HR"/>
        </w:rPr>
        <w:t>.</w:t>
      </w:r>
      <w:r w:rsidR="00A049FF" w:rsidRPr="00FD59C0">
        <w:rPr>
          <w:rFonts w:ascii="Verdana" w:hAnsi="Verdana" w:cstheme="minorHAnsi"/>
          <w:sz w:val="20"/>
          <w:szCs w:val="20"/>
          <w:lang w:val="hr-HR"/>
        </w:rPr>
        <w:t xml:space="preserve"> </w:t>
      </w:r>
    </w:p>
    <w:p w14:paraId="18696D7C" w14:textId="77777777" w:rsidR="00334BAF" w:rsidRPr="00334BAF" w:rsidRDefault="00334BAF" w:rsidP="00D84178">
      <w:pPr>
        <w:spacing w:line="276" w:lineRule="auto"/>
        <w:jc w:val="both"/>
        <w:rPr>
          <w:rFonts w:ascii="Verdana" w:hAnsi="Verdana" w:cstheme="minorHAnsi"/>
          <w:sz w:val="20"/>
          <w:szCs w:val="20"/>
          <w:lang w:val="hr-HR"/>
        </w:rPr>
      </w:pPr>
      <w:r w:rsidRPr="00334BAF">
        <w:rPr>
          <w:rFonts w:ascii="Verdana" w:hAnsi="Verdana" w:cstheme="minorHAnsi"/>
          <w:sz w:val="20"/>
          <w:szCs w:val="20"/>
          <w:lang w:val="hr-HR"/>
        </w:rPr>
        <w:t xml:space="preserve">Na osnovu podataka dostavljenih Odjelu nije moguće sa sigurnošću utvrditi da li ostale pravosudne institucije nisu evidentirale </w:t>
      </w:r>
      <w:r w:rsidRPr="003F7EDC">
        <w:rPr>
          <w:rFonts w:ascii="Verdana" w:hAnsi="Verdana" w:cstheme="minorHAnsi"/>
          <w:i/>
          <w:sz w:val="20"/>
          <w:szCs w:val="20"/>
          <w:lang w:val="hr-HR"/>
        </w:rPr>
        <w:t>ex parte</w:t>
      </w:r>
      <w:r w:rsidRPr="00334BAF">
        <w:rPr>
          <w:rFonts w:ascii="Verdana" w:hAnsi="Verdana" w:cstheme="minorHAnsi"/>
          <w:sz w:val="20"/>
          <w:szCs w:val="20"/>
          <w:lang w:val="hr-HR"/>
        </w:rPr>
        <w:t xml:space="preserve"> komunikaciju ili takve komunikacije uopšte nije bilo u tim institucijama.</w:t>
      </w:r>
    </w:p>
    <w:p w14:paraId="1F99E0ED" w14:textId="77777777" w:rsidR="00334BAF" w:rsidRDefault="00334BAF" w:rsidP="00D84178">
      <w:pPr>
        <w:spacing w:line="276" w:lineRule="auto"/>
        <w:jc w:val="both"/>
        <w:rPr>
          <w:rFonts w:ascii="Verdana" w:hAnsi="Verdana" w:cstheme="minorHAnsi"/>
          <w:sz w:val="20"/>
          <w:szCs w:val="20"/>
          <w:lang w:val="hr-HR"/>
        </w:rPr>
      </w:pPr>
      <w:r w:rsidRPr="00334BAF">
        <w:rPr>
          <w:rFonts w:ascii="Verdana" w:hAnsi="Verdana" w:cstheme="minorHAnsi"/>
          <w:sz w:val="20"/>
          <w:szCs w:val="20"/>
          <w:lang w:val="hr-HR"/>
        </w:rPr>
        <w:t xml:space="preserve">Od ukupno 102 pravosudne institucije, samo su dvije institucije dostavile podatak o evidentiranoj </w:t>
      </w:r>
      <w:r w:rsidRPr="003F7EDC">
        <w:rPr>
          <w:rFonts w:ascii="Verdana" w:hAnsi="Verdana" w:cstheme="minorHAnsi"/>
          <w:i/>
          <w:sz w:val="20"/>
          <w:szCs w:val="20"/>
          <w:lang w:val="hr-HR"/>
        </w:rPr>
        <w:t>ex parte</w:t>
      </w:r>
      <w:r w:rsidRPr="00334BAF">
        <w:rPr>
          <w:rFonts w:ascii="Verdana" w:hAnsi="Verdana" w:cstheme="minorHAnsi"/>
          <w:sz w:val="20"/>
          <w:szCs w:val="20"/>
          <w:lang w:val="hr-HR"/>
        </w:rPr>
        <w:t xml:space="preserve"> komunikaciji, što predstavlja 1,96% pravosudnih institucija koje su putem instrumenata za praćenje primjene Smjernica dostavile informacije o postojanju takve komunikacije Odjelu.</w:t>
      </w:r>
    </w:p>
    <w:p w14:paraId="6D56A462" w14:textId="77777777" w:rsidR="005B4824" w:rsidRPr="00FD59C0" w:rsidRDefault="000C5FFF" w:rsidP="00D84178">
      <w:pPr>
        <w:spacing w:line="276" w:lineRule="auto"/>
        <w:jc w:val="both"/>
        <w:rPr>
          <w:rFonts w:ascii="Verdana" w:hAnsi="Verdana" w:cstheme="minorHAnsi"/>
          <w:sz w:val="20"/>
          <w:szCs w:val="20"/>
          <w:lang w:val="hr-HR"/>
        </w:rPr>
      </w:pPr>
      <w:r>
        <w:rPr>
          <w:rFonts w:ascii="Verdana" w:hAnsi="Verdana" w:cstheme="minorHAnsi"/>
          <w:sz w:val="20"/>
          <w:szCs w:val="20"/>
          <w:lang w:val="hr-HR"/>
        </w:rPr>
        <w:t>Analizirajući ovaj podatak može se doći do zaključka da je potrebno</w:t>
      </w:r>
      <w:r w:rsidR="00A049FF" w:rsidRPr="00FD59C0">
        <w:rPr>
          <w:rFonts w:ascii="Verdana" w:hAnsi="Verdana"/>
          <w:sz w:val="20"/>
          <w:szCs w:val="20"/>
          <w:lang w:val="hr-HR"/>
        </w:rPr>
        <w:t xml:space="preserve"> i dalje educirati kako rukovodioce pravosudnih institucija tako i NPF o sadržaju Smjernica za sprečavanje sukoba interesa u pravosuđu u dijelu koji se odnosi na </w:t>
      </w:r>
      <w:r w:rsidR="00A049FF" w:rsidRPr="003F7EDC">
        <w:rPr>
          <w:rFonts w:ascii="Verdana" w:hAnsi="Verdana"/>
          <w:i/>
          <w:iCs/>
          <w:sz w:val="20"/>
          <w:szCs w:val="20"/>
          <w:lang w:val="hr-HR"/>
        </w:rPr>
        <w:t>ex parte</w:t>
      </w:r>
      <w:r w:rsidR="00334BAF" w:rsidRPr="00334BAF">
        <w:rPr>
          <w:rFonts w:ascii="Verdana" w:hAnsi="Verdana"/>
          <w:sz w:val="20"/>
          <w:szCs w:val="20"/>
          <w:lang w:val="hr-HR"/>
        </w:rPr>
        <w:t xml:space="preserve"> </w:t>
      </w:r>
      <w:r w:rsidR="00334BAF" w:rsidRPr="00FD59C0">
        <w:rPr>
          <w:rFonts w:ascii="Verdana" w:hAnsi="Verdana"/>
          <w:sz w:val="20"/>
          <w:szCs w:val="20"/>
          <w:lang w:val="hr-HR"/>
        </w:rPr>
        <w:t>komunikaciju</w:t>
      </w:r>
      <w:r w:rsidR="00A049FF" w:rsidRPr="00FD59C0">
        <w:rPr>
          <w:rFonts w:ascii="Verdana" w:hAnsi="Verdana"/>
          <w:iCs/>
          <w:sz w:val="20"/>
          <w:szCs w:val="20"/>
          <w:lang w:val="hr-HR"/>
        </w:rPr>
        <w:t xml:space="preserve">, </w:t>
      </w:r>
      <w:r w:rsidR="00A049FF" w:rsidRPr="00FD59C0">
        <w:rPr>
          <w:rFonts w:ascii="Verdana" w:hAnsi="Verdana"/>
          <w:sz w:val="20"/>
          <w:szCs w:val="20"/>
          <w:lang w:val="hr-HR"/>
        </w:rPr>
        <w:t xml:space="preserve">postupanje u slučaju </w:t>
      </w:r>
      <w:r>
        <w:rPr>
          <w:rFonts w:ascii="Verdana" w:hAnsi="Verdana"/>
          <w:sz w:val="20"/>
          <w:szCs w:val="20"/>
          <w:lang w:val="hr-HR"/>
        </w:rPr>
        <w:t xml:space="preserve">ove vrste komunikacije kao i </w:t>
      </w:r>
      <w:r w:rsidR="00A049FF" w:rsidRPr="00FD59C0">
        <w:rPr>
          <w:rFonts w:ascii="Verdana" w:hAnsi="Verdana"/>
          <w:sz w:val="20"/>
          <w:szCs w:val="20"/>
          <w:lang w:val="hr-HR"/>
        </w:rPr>
        <w:t>obavez</w:t>
      </w:r>
      <w:r>
        <w:rPr>
          <w:rFonts w:ascii="Verdana" w:hAnsi="Verdana"/>
          <w:sz w:val="20"/>
          <w:szCs w:val="20"/>
          <w:lang w:val="hr-HR"/>
        </w:rPr>
        <w:t>e</w:t>
      </w:r>
      <w:r w:rsidR="00A049FF" w:rsidRPr="00FD59C0">
        <w:rPr>
          <w:rFonts w:ascii="Verdana" w:hAnsi="Verdana"/>
          <w:sz w:val="20"/>
          <w:szCs w:val="20"/>
          <w:lang w:val="hr-HR"/>
        </w:rPr>
        <w:t xml:space="preserve"> evidentiranja ovih podataka.</w:t>
      </w:r>
      <w:r w:rsidR="00A049FF" w:rsidRPr="00FD59C0">
        <w:rPr>
          <w:rFonts w:ascii="Verdana" w:hAnsi="Verdana" w:cstheme="minorHAnsi"/>
          <w:sz w:val="20"/>
          <w:szCs w:val="20"/>
          <w:lang w:val="hr-HR"/>
        </w:rPr>
        <w:tab/>
      </w:r>
    </w:p>
    <w:p w14:paraId="2FED3DF6" w14:textId="77777777" w:rsidR="00135B0A" w:rsidRDefault="00135B0A" w:rsidP="00D84178">
      <w:pPr>
        <w:pStyle w:val="Heading3"/>
        <w:spacing w:line="276" w:lineRule="auto"/>
        <w:rPr>
          <w:rFonts w:ascii="Verdana" w:eastAsia="Times New Roman" w:hAnsi="Verdana" w:cstheme="minorHAnsi"/>
          <w:b/>
          <w:bCs w:val="0"/>
          <w:sz w:val="22"/>
          <w:lang w:val="bs-Latn-BA" w:eastAsia="en-GB"/>
        </w:rPr>
      </w:pPr>
    </w:p>
    <w:p w14:paraId="3B6ED1AC" w14:textId="77777777" w:rsidR="004A1591" w:rsidRPr="00921582" w:rsidRDefault="00EC3346" w:rsidP="00D84178">
      <w:pPr>
        <w:pStyle w:val="Heading3"/>
        <w:spacing w:line="276" w:lineRule="auto"/>
        <w:rPr>
          <w:rFonts w:eastAsia="Times New Roman"/>
          <w:lang w:eastAsia="en-GB"/>
        </w:rPr>
      </w:pPr>
      <w:bookmarkStart w:id="11" w:name="_Toc229748336"/>
      <w:r w:rsidRPr="00921582">
        <w:rPr>
          <w:rFonts w:eastAsia="Times New Roman"/>
          <w:lang w:val="bs-Latn-BA" w:eastAsia="en-GB"/>
        </w:rPr>
        <w:t xml:space="preserve">1.6 </w:t>
      </w:r>
      <w:r w:rsidR="004A1591" w:rsidRPr="00921582">
        <w:rPr>
          <w:rFonts w:eastAsia="Times New Roman"/>
          <w:lang w:eastAsia="en-GB"/>
        </w:rPr>
        <w:t>Evidencija o prijemu poklona NPF i uposlenika</w:t>
      </w:r>
      <w:bookmarkEnd w:id="11"/>
    </w:p>
    <w:p w14:paraId="256E7C04" w14:textId="77777777" w:rsidR="004A1591" w:rsidRPr="004A1591" w:rsidRDefault="004A1591" w:rsidP="00D84178">
      <w:pPr>
        <w:spacing w:line="276" w:lineRule="auto"/>
        <w:rPr>
          <w:lang w:eastAsia="en-GB"/>
        </w:rPr>
      </w:pPr>
    </w:p>
    <w:p w14:paraId="1A9878B3" w14:textId="77777777" w:rsidR="00DE1A46" w:rsidRDefault="00460E74" w:rsidP="00D84178">
      <w:pPr>
        <w:spacing w:line="276" w:lineRule="auto"/>
        <w:jc w:val="both"/>
        <w:rPr>
          <w:rFonts w:ascii="Verdana" w:hAnsi="Verdana" w:cstheme="minorHAnsi"/>
          <w:sz w:val="20"/>
          <w:szCs w:val="20"/>
          <w:lang w:val="hr-HR"/>
        </w:rPr>
      </w:pPr>
      <w:r w:rsidRPr="002822E3">
        <w:rPr>
          <w:rFonts w:ascii="Verdana" w:hAnsi="Verdana" w:cstheme="minorHAnsi"/>
          <w:sz w:val="20"/>
          <w:szCs w:val="20"/>
          <w:lang w:val="hr-HR"/>
        </w:rPr>
        <w:t xml:space="preserve">Osnovna </w:t>
      </w:r>
      <w:r w:rsidR="004A1591" w:rsidRPr="002822E3">
        <w:rPr>
          <w:rFonts w:ascii="Verdana" w:hAnsi="Verdana" w:cstheme="minorHAnsi"/>
          <w:sz w:val="20"/>
          <w:szCs w:val="20"/>
          <w:lang w:val="hr-HR"/>
        </w:rPr>
        <w:t xml:space="preserve">karakteristika poklona i drugih koristi u kontekstu sukoba interesa nosilaca pravosudnih funkcija jeste da se oni daju, odnosno primaju u direktnoj ili indirektnoj vezi sa obavljanjem pravosudne dužnosti. </w:t>
      </w:r>
      <w:r w:rsidRPr="002822E3">
        <w:rPr>
          <w:rFonts w:ascii="Verdana" w:hAnsi="Verdana" w:cstheme="minorHAnsi"/>
          <w:sz w:val="20"/>
          <w:szCs w:val="20"/>
          <w:lang w:val="hr-HR"/>
        </w:rPr>
        <w:t>U periodu za koji se radi analiza d</w:t>
      </w:r>
      <w:r w:rsidR="004A1591" w:rsidRPr="002822E3">
        <w:rPr>
          <w:rFonts w:ascii="Verdana" w:hAnsi="Verdana" w:cstheme="minorHAnsi"/>
          <w:sz w:val="20"/>
          <w:szCs w:val="20"/>
          <w:lang w:val="hr-HR"/>
        </w:rPr>
        <w:t>vije pravosudne institucije</w:t>
      </w:r>
      <w:r w:rsidR="002822E3">
        <w:rPr>
          <w:rFonts w:ascii="Verdana" w:hAnsi="Verdana" w:cstheme="minorHAnsi"/>
          <w:sz w:val="20"/>
          <w:szCs w:val="20"/>
          <w:lang w:val="hr-HR"/>
        </w:rPr>
        <w:t xml:space="preserve"> </w:t>
      </w:r>
      <w:r w:rsidR="004A1591" w:rsidRPr="002822E3">
        <w:rPr>
          <w:rFonts w:ascii="Verdana" w:hAnsi="Verdana" w:cstheme="minorHAnsi"/>
          <w:sz w:val="20"/>
          <w:szCs w:val="20"/>
          <w:lang w:val="hr-HR"/>
        </w:rPr>
        <w:t>su evidentirale prijem poklona NPF</w:t>
      </w:r>
      <w:r w:rsidRPr="002822E3">
        <w:rPr>
          <w:rFonts w:ascii="Verdana" w:hAnsi="Verdana" w:cstheme="minorHAnsi"/>
          <w:sz w:val="20"/>
          <w:szCs w:val="20"/>
          <w:lang w:val="hr-HR"/>
        </w:rPr>
        <w:t xml:space="preserve">. </w:t>
      </w:r>
    </w:p>
    <w:p w14:paraId="665B3D4C" w14:textId="77777777" w:rsidR="004A1591" w:rsidRDefault="00460E74" w:rsidP="00D84178">
      <w:pPr>
        <w:spacing w:line="276" w:lineRule="auto"/>
        <w:jc w:val="both"/>
        <w:rPr>
          <w:rFonts w:ascii="Verdana" w:hAnsi="Verdana"/>
          <w:sz w:val="20"/>
          <w:szCs w:val="20"/>
          <w:lang w:val="hr-HR"/>
        </w:rPr>
      </w:pPr>
      <w:r w:rsidRPr="002822E3">
        <w:rPr>
          <w:rFonts w:ascii="Verdana" w:hAnsi="Verdana" w:cstheme="minorHAnsi"/>
          <w:sz w:val="20"/>
          <w:szCs w:val="20"/>
          <w:lang w:val="hr-HR"/>
        </w:rPr>
        <w:t>Evidentirana su dva poklona, procjenjen</w:t>
      </w:r>
      <w:r w:rsidR="00D915AC">
        <w:rPr>
          <w:rFonts w:ascii="Verdana" w:hAnsi="Verdana" w:cstheme="minorHAnsi"/>
          <w:sz w:val="20"/>
          <w:szCs w:val="20"/>
          <w:lang w:val="hr-HR"/>
        </w:rPr>
        <w:t>a</w:t>
      </w:r>
      <w:r w:rsidRPr="002822E3">
        <w:rPr>
          <w:rFonts w:ascii="Verdana" w:hAnsi="Verdana" w:cstheme="minorHAnsi"/>
          <w:sz w:val="20"/>
          <w:szCs w:val="20"/>
          <w:lang w:val="hr-HR"/>
        </w:rPr>
        <w:t xml:space="preserve"> vrijednosti </w:t>
      </w:r>
      <w:r w:rsidR="00D915AC">
        <w:rPr>
          <w:rFonts w:ascii="Verdana" w:hAnsi="Verdana" w:cstheme="minorHAnsi"/>
          <w:sz w:val="20"/>
          <w:szCs w:val="20"/>
          <w:lang w:val="hr-HR"/>
        </w:rPr>
        <w:t>za jedan poklon</w:t>
      </w:r>
      <w:r w:rsidR="00DE1A46">
        <w:rPr>
          <w:rFonts w:ascii="Verdana" w:hAnsi="Verdana" w:cstheme="minorHAnsi"/>
          <w:sz w:val="20"/>
          <w:szCs w:val="20"/>
          <w:lang w:val="hr-HR"/>
        </w:rPr>
        <w:t xml:space="preserve"> je </w:t>
      </w:r>
      <w:r w:rsidRPr="002822E3">
        <w:rPr>
          <w:rFonts w:ascii="Verdana" w:hAnsi="Verdana" w:cstheme="minorHAnsi"/>
          <w:sz w:val="20"/>
          <w:szCs w:val="20"/>
          <w:lang w:val="hr-HR"/>
        </w:rPr>
        <w:t>1</w:t>
      </w:r>
      <w:r w:rsidR="00606A23">
        <w:rPr>
          <w:rFonts w:ascii="Verdana" w:hAnsi="Verdana" w:cstheme="minorHAnsi"/>
          <w:sz w:val="20"/>
          <w:szCs w:val="20"/>
          <w:lang w:val="hr-HR"/>
        </w:rPr>
        <w:t>50</w:t>
      </w:r>
      <w:r w:rsidR="00DE1A46">
        <w:rPr>
          <w:rFonts w:ascii="Verdana" w:hAnsi="Verdana" w:cstheme="minorHAnsi"/>
          <w:sz w:val="20"/>
          <w:szCs w:val="20"/>
          <w:lang w:val="hr-HR"/>
        </w:rPr>
        <w:t xml:space="preserve"> KM, a </w:t>
      </w:r>
      <w:r w:rsidR="00D915AC">
        <w:rPr>
          <w:rFonts w:ascii="Verdana" w:hAnsi="Verdana" w:cstheme="minorHAnsi"/>
          <w:sz w:val="20"/>
          <w:szCs w:val="20"/>
          <w:lang w:val="hr-HR"/>
        </w:rPr>
        <w:t>za drugi</w:t>
      </w:r>
      <w:r w:rsidR="00DE1A46">
        <w:rPr>
          <w:rFonts w:ascii="Verdana" w:hAnsi="Verdana" w:cstheme="minorHAnsi"/>
          <w:sz w:val="20"/>
          <w:szCs w:val="20"/>
          <w:lang w:val="hr-HR"/>
        </w:rPr>
        <w:t xml:space="preserve"> 300</w:t>
      </w:r>
      <w:r w:rsidR="00135B0A">
        <w:rPr>
          <w:rFonts w:ascii="Verdana" w:hAnsi="Verdana" w:cstheme="minorHAnsi"/>
          <w:sz w:val="20"/>
          <w:szCs w:val="20"/>
          <w:lang w:val="hr-HR"/>
        </w:rPr>
        <w:t>KM i p</w:t>
      </w:r>
      <w:r w:rsidR="001E58DD" w:rsidRPr="002822E3">
        <w:rPr>
          <w:rFonts w:ascii="Verdana" w:hAnsi="Verdana" w:cstheme="minorHAnsi"/>
          <w:sz w:val="20"/>
          <w:szCs w:val="20"/>
          <w:lang w:val="hr-HR"/>
        </w:rPr>
        <w:t>okl</w:t>
      </w:r>
      <w:r w:rsidR="00135B0A">
        <w:rPr>
          <w:rFonts w:ascii="Verdana" w:hAnsi="Verdana" w:cstheme="minorHAnsi"/>
          <w:sz w:val="20"/>
          <w:szCs w:val="20"/>
          <w:lang w:val="hr-HR"/>
        </w:rPr>
        <w:t>onodavci su uredno evidentirani, kao i da su</w:t>
      </w:r>
      <w:r w:rsidR="001E58DD" w:rsidRPr="002822E3">
        <w:rPr>
          <w:rFonts w:ascii="Verdana" w:hAnsi="Verdana" w:cstheme="minorHAnsi"/>
          <w:sz w:val="20"/>
          <w:szCs w:val="20"/>
          <w:lang w:val="hr-HR"/>
        </w:rPr>
        <w:t xml:space="preserve"> </w:t>
      </w:r>
      <w:r w:rsidRPr="002822E3">
        <w:rPr>
          <w:rFonts w:ascii="Verdana" w:hAnsi="Verdana" w:cstheme="minorHAnsi"/>
          <w:sz w:val="20"/>
          <w:szCs w:val="20"/>
          <w:lang w:val="hr-HR"/>
        </w:rPr>
        <w:t xml:space="preserve"> </w:t>
      </w:r>
      <w:r w:rsidR="00135B0A">
        <w:rPr>
          <w:rFonts w:ascii="Verdana" w:hAnsi="Verdana" w:cstheme="minorHAnsi"/>
          <w:sz w:val="20"/>
          <w:szCs w:val="20"/>
          <w:lang w:val="hr-HR"/>
        </w:rPr>
        <w:t>s</w:t>
      </w:r>
      <w:r w:rsidRPr="002822E3">
        <w:rPr>
          <w:rFonts w:ascii="Verdana" w:hAnsi="Verdana" w:cstheme="minorHAnsi"/>
          <w:sz w:val="20"/>
          <w:szCs w:val="20"/>
          <w:lang w:val="hr-HR"/>
        </w:rPr>
        <w:t>ačinjene s</w:t>
      </w:r>
      <w:r w:rsidR="004A1591" w:rsidRPr="002822E3">
        <w:rPr>
          <w:rFonts w:ascii="Verdana" w:hAnsi="Verdana" w:cstheme="minorHAnsi"/>
          <w:sz w:val="20"/>
          <w:szCs w:val="20"/>
          <w:lang w:val="hr-HR"/>
        </w:rPr>
        <w:t>lužbe</w:t>
      </w:r>
      <w:r w:rsidRPr="002822E3">
        <w:rPr>
          <w:rFonts w:ascii="Verdana" w:hAnsi="Verdana" w:cstheme="minorHAnsi"/>
          <w:sz w:val="20"/>
          <w:szCs w:val="20"/>
          <w:lang w:val="hr-HR"/>
        </w:rPr>
        <w:t>ne</w:t>
      </w:r>
      <w:r w:rsidR="004A1591" w:rsidRPr="002822E3">
        <w:rPr>
          <w:rFonts w:ascii="Verdana" w:hAnsi="Verdana" w:cstheme="minorHAnsi"/>
          <w:sz w:val="20"/>
          <w:szCs w:val="20"/>
          <w:lang w:val="hr-HR"/>
        </w:rPr>
        <w:t xml:space="preserve"> zabilješk</w:t>
      </w:r>
      <w:r w:rsidRPr="002822E3">
        <w:rPr>
          <w:rFonts w:ascii="Verdana" w:hAnsi="Verdana" w:cstheme="minorHAnsi"/>
          <w:sz w:val="20"/>
          <w:szCs w:val="20"/>
          <w:lang w:val="hr-HR"/>
        </w:rPr>
        <w:t>e</w:t>
      </w:r>
      <w:r w:rsidR="004A1591" w:rsidRPr="002822E3">
        <w:rPr>
          <w:rFonts w:ascii="Verdana" w:hAnsi="Verdana" w:cstheme="minorHAnsi"/>
          <w:sz w:val="20"/>
          <w:szCs w:val="20"/>
          <w:lang w:val="hr-HR"/>
        </w:rPr>
        <w:t xml:space="preserve"> o primljenim poklonima</w:t>
      </w:r>
      <w:r w:rsidRPr="002822E3">
        <w:rPr>
          <w:rFonts w:ascii="Verdana" w:hAnsi="Verdana" w:cstheme="minorHAnsi"/>
          <w:sz w:val="20"/>
          <w:szCs w:val="20"/>
          <w:lang w:val="hr-HR"/>
        </w:rPr>
        <w:t>.</w:t>
      </w:r>
      <w:r w:rsidR="00DE1A46" w:rsidRPr="00DE1A46">
        <w:rPr>
          <w:rFonts w:ascii="Verdana" w:hAnsi="Verdana"/>
          <w:sz w:val="20"/>
          <w:szCs w:val="20"/>
          <w:lang w:val="hr-HR"/>
        </w:rPr>
        <w:t xml:space="preserve"> </w:t>
      </w:r>
      <w:r w:rsidR="00DE1A46" w:rsidRPr="002822E3">
        <w:rPr>
          <w:rFonts w:ascii="Verdana" w:hAnsi="Verdana"/>
          <w:sz w:val="20"/>
          <w:szCs w:val="20"/>
          <w:lang w:val="hr-HR"/>
        </w:rPr>
        <w:t>S obzirom da su samo dvije pravosudne institucije evidentirale poklone i dostav</w:t>
      </w:r>
      <w:r w:rsidR="00DE1A46">
        <w:rPr>
          <w:rFonts w:ascii="Verdana" w:hAnsi="Verdana"/>
          <w:sz w:val="20"/>
          <w:szCs w:val="20"/>
          <w:lang w:val="hr-HR"/>
        </w:rPr>
        <w:t>i</w:t>
      </w:r>
      <w:r w:rsidR="00DE1A46" w:rsidRPr="002822E3">
        <w:rPr>
          <w:rFonts w:ascii="Verdana" w:hAnsi="Verdana"/>
          <w:sz w:val="20"/>
          <w:szCs w:val="20"/>
          <w:lang w:val="hr-HR"/>
        </w:rPr>
        <w:t>le podatke Odjelu</w:t>
      </w:r>
      <w:r w:rsidR="00D915AC">
        <w:rPr>
          <w:rFonts w:ascii="Verdana" w:hAnsi="Verdana"/>
          <w:sz w:val="20"/>
          <w:szCs w:val="20"/>
          <w:lang w:val="hr-HR"/>
        </w:rPr>
        <w:t xml:space="preserve">, </w:t>
      </w:r>
      <w:r w:rsidR="00DE1A46" w:rsidRPr="002822E3">
        <w:rPr>
          <w:rFonts w:ascii="Verdana" w:hAnsi="Verdana"/>
          <w:sz w:val="20"/>
          <w:szCs w:val="20"/>
          <w:lang w:val="hr-HR"/>
        </w:rPr>
        <w:t xml:space="preserve"> </w:t>
      </w:r>
      <w:r w:rsidR="00DE1A46">
        <w:rPr>
          <w:rFonts w:ascii="Verdana" w:hAnsi="Verdana"/>
          <w:sz w:val="20"/>
          <w:szCs w:val="20"/>
          <w:lang w:val="hr-HR"/>
        </w:rPr>
        <w:t xml:space="preserve">što je </w:t>
      </w:r>
      <w:r w:rsidR="00DE1A46" w:rsidRPr="002822E3">
        <w:rPr>
          <w:rFonts w:ascii="Verdana" w:hAnsi="Verdana"/>
          <w:sz w:val="20"/>
          <w:szCs w:val="20"/>
          <w:lang w:val="hr-HR"/>
        </w:rPr>
        <w:t>1,9</w:t>
      </w:r>
      <w:r w:rsidR="00DE1A46">
        <w:rPr>
          <w:rFonts w:ascii="Verdana" w:hAnsi="Verdana"/>
          <w:sz w:val="20"/>
          <w:szCs w:val="20"/>
          <w:lang w:val="hr-HR"/>
        </w:rPr>
        <w:t>6%</w:t>
      </w:r>
      <w:r w:rsidR="00D915AC">
        <w:rPr>
          <w:rFonts w:ascii="Verdana" w:hAnsi="Verdana"/>
          <w:sz w:val="20"/>
          <w:szCs w:val="20"/>
          <w:lang w:val="hr-HR"/>
        </w:rPr>
        <w:t xml:space="preserve"> institucija</w:t>
      </w:r>
      <w:r w:rsidR="00DE1A46">
        <w:rPr>
          <w:rFonts w:ascii="Verdana" w:hAnsi="Verdana"/>
          <w:sz w:val="20"/>
          <w:szCs w:val="20"/>
          <w:lang w:val="hr-HR"/>
        </w:rPr>
        <w:t>, na osnovu ovoga nije moguće donijeti konkretne zaključke.</w:t>
      </w:r>
    </w:p>
    <w:p w14:paraId="554B7762" w14:textId="77777777" w:rsidR="005055E6" w:rsidRPr="002822E3" w:rsidRDefault="00D915AC" w:rsidP="00D84178">
      <w:pPr>
        <w:spacing w:line="276" w:lineRule="auto"/>
        <w:jc w:val="both"/>
        <w:rPr>
          <w:rFonts w:ascii="Verdana" w:hAnsi="Verdana" w:cstheme="minorHAnsi"/>
          <w:sz w:val="20"/>
          <w:szCs w:val="20"/>
          <w:lang w:val="hr-HR"/>
        </w:rPr>
        <w:sectPr w:rsidR="005055E6" w:rsidRPr="002822E3" w:rsidSect="00EE7C5A">
          <w:pgSz w:w="11906" w:h="16838"/>
          <w:pgMar w:top="1417" w:right="1417" w:bottom="1417" w:left="1417" w:header="708" w:footer="708" w:gutter="0"/>
          <w:cols w:space="708"/>
          <w:docGrid w:linePitch="360"/>
        </w:sectPr>
      </w:pPr>
      <w:r>
        <w:rPr>
          <w:rFonts w:ascii="Verdana" w:hAnsi="Verdana"/>
          <w:sz w:val="20"/>
          <w:szCs w:val="20"/>
          <w:lang w:val="hr-HR"/>
        </w:rPr>
        <w:t>Kao i za ex parte komunikaciju i ovdje se može izvesti zaključak da je potrebno</w:t>
      </w:r>
      <w:r w:rsidR="004A1591" w:rsidRPr="002822E3">
        <w:rPr>
          <w:rFonts w:ascii="Verdana" w:hAnsi="Verdana"/>
          <w:sz w:val="20"/>
          <w:szCs w:val="20"/>
          <w:lang w:val="hr-HR"/>
        </w:rPr>
        <w:t xml:space="preserve"> i dalje educirati kako rukovodioce pravosudnih institucija tako i NPF o sadržaju Smjernica za sprečavanje sukoba interesa u pravosuđu u dijelu koji se odnosi poklone i druge koristi i obavezu evidentiranja ovih podataka.</w:t>
      </w:r>
      <w:r w:rsidR="00460E74" w:rsidRPr="002822E3">
        <w:rPr>
          <w:rFonts w:ascii="Verdana" w:hAnsi="Verdana"/>
          <w:sz w:val="20"/>
          <w:szCs w:val="20"/>
          <w:lang w:val="hr-HR"/>
        </w:rPr>
        <w:t xml:space="preserve"> S napomenom da </w:t>
      </w:r>
      <w:r w:rsidR="001E58DD" w:rsidRPr="002822E3">
        <w:rPr>
          <w:rFonts w:ascii="Verdana" w:hAnsi="Verdana"/>
          <w:sz w:val="20"/>
          <w:szCs w:val="20"/>
          <w:lang w:val="hr-HR"/>
        </w:rPr>
        <w:t xml:space="preserve"> </w:t>
      </w:r>
      <w:r w:rsidR="00460E74" w:rsidRPr="002822E3">
        <w:rPr>
          <w:rFonts w:ascii="Verdana" w:hAnsi="Verdana"/>
          <w:sz w:val="20"/>
          <w:szCs w:val="20"/>
          <w:lang w:val="hr-HR"/>
        </w:rPr>
        <w:t>ni</w:t>
      </w:r>
      <w:r w:rsidR="001E58DD" w:rsidRPr="002822E3">
        <w:rPr>
          <w:rFonts w:ascii="Verdana" w:hAnsi="Verdana"/>
          <w:sz w:val="20"/>
          <w:szCs w:val="20"/>
          <w:lang w:val="hr-HR"/>
        </w:rPr>
        <w:t>je potrebno u ove evidencije uključivati poklone uposlenicima jer su evidencije poklona za uposlenike pravosudnih institucija predmetom evidencija predviđenih postojećim instrumentima za praćenje primjene etičkih kodeksa i smjernica za postupanje uposlenika pravosudnih institucija.</w:t>
      </w:r>
    </w:p>
    <w:p w14:paraId="4B2FBE39" w14:textId="77777777" w:rsidR="00572C6E" w:rsidRPr="00921582" w:rsidRDefault="00EC3346" w:rsidP="00D84178">
      <w:pPr>
        <w:pStyle w:val="Heading2"/>
        <w:spacing w:line="276" w:lineRule="auto"/>
        <w:rPr>
          <w:lang w:val="hr-HR"/>
        </w:rPr>
      </w:pPr>
      <w:bookmarkStart w:id="12" w:name="_Toc229748337"/>
      <w:r w:rsidRPr="00921582">
        <w:rPr>
          <w:lang w:val="hr-HR"/>
        </w:rPr>
        <w:lastRenderedPageBreak/>
        <w:t xml:space="preserve">2. </w:t>
      </w:r>
      <w:r w:rsidR="00572C6E" w:rsidRPr="00921582">
        <w:rPr>
          <w:lang w:val="hr-HR"/>
        </w:rPr>
        <w:t>Evidencij</w:t>
      </w:r>
      <w:r w:rsidR="00CB61DF" w:rsidRPr="00921582">
        <w:rPr>
          <w:lang w:val="hr-HR"/>
        </w:rPr>
        <w:t>e</w:t>
      </w:r>
      <w:r w:rsidR="00572C6E" w:rsidRPr="00921582">
        <w:rPr>
          <w:lang w:val="hr-HR"/>
        </w:rPr>
        <w:t xml:space="preserve"> </w:t>
      </w:r>
      <w:r w:rsidR="005055E6" w:rsidRPr="00921582">
        <w:rPr>
          <w:lang w:val="hr-HR"/>
        </w:rPr>
        <w:t xml:space="preserve">o obukama iz oblasti sukoba interesa i </w:t>
      </w:r>
      <w:r w:rsidR="00CB61DF" w:rsidRPr="00921582">
        <w:rPr>
          <w:lang w:val="hr-HR"/>
        </w:rPr>
        <w:t>pravosudne etike</w:t>
      </w:r>
      <w:bookmarkEnd w:id="12"/>
    </w:p>
    <w:p w14:paraId="01A15F76" w14:textId="77777777" w:rsidR="0057777A" w:rsidRPr="0057777A" w:rsidRDefault="0057777A" w:rsidP="00D84178">
      <w:pPr>
        <w:pStyle w:val="NormalWeb"/>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 xml:space="preserve">Prema dostavljenim evidencijama, Centar za edukaciju sudija i tužilaca Federacije BiH (CEST FBiH) organizovao je ukupno </w:t>
      </w:r>
      <w:r w:rsidRPr="0057777A">
        <w:rPr>
          <w:rFonts w:ascii="Verdana" w:eastAsiaTheme="minorHAnsi" w:hAnsi="Verdana" w:cstheme="minorHAnsi"/>
          <w:bCs/>
          <w:i/>
          <w:sz w:val="20"/>
          <w:szCs w:val="20"/>
          <w:lang w:val="hr-HR" w:eastAsia="en-US"/>
        </w:rPr>
        <w:t>5 obuka</w:t>
      </w:r>
      <w:r w:rsidRPr="0057777A">
        <w:rPr>
          <w:rFonts w:ascii="Verdana" w:eastAsiaTheme="minorHAnsi" w:hAnsi="Verdana" w:cstheme="minorHAnsi"/>
          <w:sz w:val="20"/>
          <w:szCs w:val="20"/>
          <w:lang w:val="hr-HR" w:eastAsia="en-US"/>
        </w:rPr>
        <w:t xml:space="preserve"> iz oblasti sukoba interesa i pravosudne etike. Obuke su obuhvatale sljedeće tematske cjeline:</w:t>
      </w:r>
    </w:p>
    <w:p w14:paraId="26D7E1AC" w14:textId="77777777" w:rsidR="0057777A" w:rsidRPr="0057777A" w:rsidRDefault="0057777A" w:rsidP="00D84178">
      <w:pPr>
        <w:pStyle w:val="NormalWeb"/>
        <w:numPr>
          <w:ilvl w:val="0"/>
          <w:numId w:val="28"/>
        </w:numPr>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Unapređenje edukativnih modula i šema u oblasti etike i integriteta u pravosuđu</w:t>
      </w:r>
    </w:p>
    <w:p w14:paraId="42F958FB" w14:textId="77777777" w:rsidR="0057777A" w:rsidRPr="0057777A" w:rsidRDefault="0057777A" w:rsidP="00D84178">
      <w:pPr>
        <w:pStyle w:val="NormalWeb"/>
        <w:numPr>
          <w:ilvl w:val="0"/>
          <w:numId w:val="28"/>
        </w:numPr>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Sudijski i tužilački integritet i disciplinska praksa</w:t>
      </w:r>
    </w:p>
    <w:p w14:paraId="72D75DD3" w14:textId="77777777" w:rsidR="0057777A" w:rsidRPr="0057777A" w:rsidRDefault="0057777A" w:rsidP="00D84178">
      <w:pPr>
        <w:pStyle w:val="NormalWeb"/>
        <w:numPr>
          <w:ilvl w:val="0"/>
          <w:numId w:val="28"/>
        </w:numPr>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Podrška unapređenju edukativnih šema u oblasti etike i integriteta</w:t>
      </w:r>
    </w:p>
    <w:p w14:paraId="4B37587E" w14:textId="77777777" w:rsidR="0057777A" w:rsidRPr="0057777A" w:rsidRDefault="0057777A" w:rsidP="00D84178">
      <w:pPr>
        <w:pStyle w:val="NormalWeb"/>
        <w:numPr>
          <w:ilvl w:val="0"/>
          <w:numId w:val="28"/>
        </w:numPr>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Sudijska i tužilačka etika i disciplinske prakse – obuka za novoimenovane sudije i tužioce</w:t>
      </w:r>
    </w:p>
    <w:p w14:paraId="254AC8E5" w14:textId="77777777" w:rsidR="0057777A" w:rsidRPr="0057777A" w:rsidRDefault="0057777A" w:rsidP="00D84178">
      <w:pPr>
        <w:pStyle w:val="NormalWeb"/>
        <w:numPr>
          <w:ilvl w:val="0"/>
          <w:numId w:val="28"/>
        </w:numPr>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Značaj pravilnog prijavljivanja imovine sa aspekta etike i integriteta</w:t>
      </w:r>
    </w:p>
    <w:p w14:paraId="4109BAFB" w14:textId="77777777" w:rsidR="0057777A" w:rsidRPr="00F12303" w:rsidRDefault="0057777A" w:rsidP="00D84178">
      <w:pPr>
        <w:pStyle w:val="NormalWeb"/>
        <w:spacing w:line="276" w:lineRule="auto"/>
        <w:jc w:val="both"/>
        <w:rPr>
          <w:rFonts w:ascii="Verdana" w:eastAsiaTheme="minorHAnsi" w:hAnsi="Verdana" w:cstheme="minorHAnsi"/>
          <w:sz w:val="20"/>
          <w:szCs w:val="20"/>
          <w:lang w:val="hr-HR" w:eastAsia="en-US"/>
        </w:rPr>
      </w:pPr>
      <w:r w:rsidRPr="00F12303">
        <w:rPr>
          <w:rFonts w:ascii="Verdana" w:eastAsiaTheme="minorHAnsi" w:hAnsi="Verdana" w:cstheme="minorHAnsi"/>
          <w:sz w:val="20"/>
          <w:szCs w:val="20"/>
          <w:lang w:val="hr-HR" w:eastAsia="en-US"/>
        </w:rPr>
        <w:t xml:space="preserve">Ukupno trajanje obuka iznosilo je </w:t>
      </w:r>
      <w:r w:rsidRPr="00F12303">
        <w:rPr>
          <w:rFonts w:ascii="Verdana" w:eastAsiaTheme="minorHAnsi" w:hAnsi="Verdana" w:cstheme="minorHAnsi"/>
          <w:bCs/>
          <w:sz w:val="20"/>
          <w:szCs w:val="20"/>
          <w:lang w:val="hr-HR" w:eastAsia="en-US"/>
        </w:rPr>
        <w:t>7 dana</w:t>
      </w:r>
      <w:r w:rsidRPr="00F12303">
        <w:rPr>
          <w:rFonts w:ascii="Verdana" w:eastAsiaTheme="minorHAnsi" w:hAnsi="Verdana" w:cstheme="minorHAnsi"/>
          <w:sz w:val="20"/>
          <w:szCs w:val="20"/>
          <w:lang w:val="hr-HR" w:eastAsia="en-US"/>
        </w:rPr>
        <w:t xml:space="preserve">, a pohađalo ih je </w:t>
      </w:r>
      <w:r w:rsidRPr="00F12303">
        <w:rPr>
          <w:rFonts w:ascii="Verdana" w:eastAsiaTheme="minorHAnsi" w:hAnsi="Verdana" w:cstheme="minorHAnsi"/>
          <w:bCs/>
          <w:sz w:val="20"/>
          <w:szCs w:val="20"/>
          <w:lang w:val="hr-HR" w:eastAsia="en-US"/>
        </w:rPr>
        <w:t>101 sudija</w:t>
      </w:r>
      <w:r w:rsidRPr="00F12303">
        <w:rPr>
          <w:rFonts w:ascii="Verdana" w:eastAsiaTheme="minorHAnsi" w:hAnsi="Verdana" w:cstheme="minorHAnsi"/>
          <w:sz w:val="20"/>
          <w:szCs w:val="20"/>
          <w:lang w:val="hr-HR" w:eastAsia="en-US"/>
        </w:rPr>
        <w:t xml:space="preserve"> i </w:t>
      </w:r>
      <w:r w:rsidRPr="00F12303">
        <w:rPr>
          <w:rFonts w:ascii="Verdana" w:eastAsiaTheme="minorHAnsi" w:hAnsi="Verdana" w:cstheme="minorHAnsi"/>
          <w:bCs/>
          <w:sz w:val="20"/>
          <w:szCs w:val="20"/>
          <w:lang w:val="hr-HR" w:eastAsia="en-US"/>
        </w:rPr>
        <w:t>29 tužilaca</w:t>
      </w:r>
      <w:r w:rsidRPr="00F12303">
        <w:rPr>
          <w:rFonts w:ascii="Verdana" w:eastAsiaTheme="minorHAnsi" w:hAnsi="Verdana" w:cstheme="minorHAnsi"/>
          <w:sz w:val="20"/>
          <w:szCs w:val="20"/>
          <w:lang w:val="hr-HR" w:eastAsia="en-US"/>
        </w:rPr>
        <w:t>.</w:t>
      </w:r>
    </w:p>
    <w:p w14:paraId="2D56F518" w14:textId="77777777" w:rsidR="0057777A" w:rsidRPr="0057777A" w:rsidRDefault="0057777A" w:rsidP="00D84178">
      <w:pPr>
        <w:pStyle w:val="Heading3"/>
        <w:spacing w:line="276" w:lineRule="auto"/>
        <w:rPr>
          <w:rFonts w:ascii="Verdana" w:eastAsiaTheme="minorHAnsi" w:hAnsi="Verdana" w:cstheme="minorHAnsi"/>
          <w:bCs w:val="0"/>
          <w:color w:val="auto"/>
          <w:spacing w:val="0"/>
          <w:sz w:val="20"/>
          <w:szCs w:val="20"/>
          <w:lang w:val="hr-HR"/>
        </w:rPr>
      </w:pPr>
      <w:bookmarkStart w:id="13" w:name="_Toc229748338"/>
      <w:r w:rsidRPr="0057777A">
        <w:rPr>
          <w:rFonts w:ascii="Verdana" w:eastAsiaTheme="minorHAnsi" w:hAnsi="Verdana" w:cstheme="minorHAnsi"/>
          <w:bCs w:val="0"/>
          <w:color w:val="auto"/>
          <w:spacing w:val="0"/>
          <w:sz w:val="20"/>
          <w:szCs w:val="20"/>
          <w:lang w:val="hr-HR"/>
        </w:rPr>
        <w:t>Obuke organizovane od strane CEST RS u 2025. godini</w:t>
      </w:r>
      <w:bookmarkEnd w:id="13"/>
    </w:p>
    <w:p w14:paraId="7C055F40" w14:textId="77777777" w:rsidR="0057777A" w:rsidRPr="0057777A" w:rsidRDefault="0057777A" w:rsidP="00D84178">
      <w:pPr>
        <w:pStyle w:val="NormalWeb"/>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 xml:space="preserve">Prema dostavljenim evidencijama, Centar za edukaciju sudija i tužilaca Republike Srpske (CEST RS) organizovao je ukupno </w:t>
      </w:r>
      <w:r w:rsidRPr="0057777A">
        <w:rPr>
          <w:rFonts w:ascii="Verdana" w:eastAsiaTheme="minorHAnsi" w:hAnsi="Verdana" w:cstheme="minorHAnsi"/>
          <w:bCs/>
          <w:i/>
          <w:sz w:val="20"/>
          <w:szCs w:val="20"/>
          <w:lang w:val="hr-HR" w:eastAsia="en-US"/>
        </w:rPr>
        <w:t>5 obuka</w:t>
      </w:r>
      <w:r w:rsidRPr="0057777A">
        <w:rPr>
          <w:rFonts w:ascii="Verdana" w:eastAsiaTheme="minorHAnsi" w:hAnsi="Verdana" w:cstheme="minorHAnsi"/>
          <w:sz w:val="20"/>
          <w:szCs w:val="20"/>
          <w:lang w:val="hr-HR" w:eastAsia="en-US"/>
        </w:rPr>
        <w:t xml:space="preserve"> iz oblasti sukoba interesa i pravosudne etike. Obuke su obuhvatale sljedeće tematske cjeline:</w:t>
      </w:r>
    </w:p>
    <w:p w14:paraId="752409AA" w14:textId="77777777" w:rsidR="0057777A" w:rsidRPr="0057777A" w:rsidRDefault="0057777A" w:rsidP="00D84178">
      <w:pPr>
        <w:pStyle w:val="NormalWeb"/>
        <w:numPr>
          <w:ilvl w:val="0"/>
          <w:numId w:val="29"/>
        </w:numPr>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Unapređenje edukativnih modula i šema u oblasti etike i integriteta u pravosuđu</w:t>
      </w:r>
    </w:p>
    <w:p w14:paraId="0293C2DC" w14:textId="77777777" w:rsidR="0057777A" w:rsidRPr="0057777A" w:rsidRDefault="0057777A" w:rsidP="00D84178">
      <w:pPr>
        <w:pStyle w:val="NormalWeb"/>
        <w:numPr>
          <w:ilvl w:val="0"/>
          <w:numId w:val="29"/>
        </w:numPr>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Sudijski i tužilački integritet i disciplinska praksa</w:t>
      </w:r>
    </w:p>
    <w:p w14:paraId="79A72E63" w14:textId="77777777" w:rsidR="0057777A" w:rsidRPr="0057777A" w:rsidRDefault="0057777A" w:rsidP="00D84178">
      <w:pPr>
        <w:pStyle w:val="NormalWeb"/>
        <w:numPr>
          <w:ilvl w:val="0"/>
          <w:numId w:val="29"/>
        </w:numPr>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Uloga predsjednika sudova i glavnih tužilaca u očuvanju integriteta pravosudnih institucija</w:t>
      </w:r>
    </w:p>
    <w:p w14:paraId="1DAB7C36" w14:textId="77777777" w:rsidR="0057777A" w:rsidRPr="0057777A" w:rsidRDefault="0057777A" w:rsidP="00D84178">
      <w:pPr>
        <w:pStyle w:val="NormalWeb"/>
        <w:numPr>
          <w:ilvl w:val="0"/>
          <w:numId w:val="29"/>
        </w:numPr>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Značaj pravilnog prijavljivanja imovine sa aspekta etike i integriteta</w:t>
      </w:r>
    </w:p>
    <w:p w14:paraId="56C8F1EB" w14:textId="77777777" w:rsidR="0057777A" w:rsidRPr="0057777A" w:rsidRDefault="0057777A" w:rsidP="00D84178">
      <w:pPr>
        <w:pStyle w:val="NormalWeb"/>
        <w:numPr>
          <w:ilvl w:val="0"/>
          <w:numId w:val="29"/>
        </w:numPr>
        <w:spacing w:line="276" w:lineRule="auto"/>
        <w:jc w:val="both"/>
        <w:rPr>
          <w:rFonts w:ascii="Verdana" w:eastAsiaTheme="minorHAnsi" w:hAnsi="Verdana" w:cstheme="minorHAnsi"/>
          <w:sz w:val="20"/>
          <w:szCs w:val="20"/>
          <w:lang w:val="hr-HR" w:eastAsia="en-US"/>
        </w:rPr>
      </w:pPr>
      <w:r w:rsidRPr="0057777A">
        <w:rPr>
          <w:rFonts w:ascii="Verdana" w:eastAsiaTheme="minorHAnsi" w:hAnsi="Verdana" w:cstheme="minorHAnsi"/>
          <w:sz w:val="20"/>
          <w:szCs w:val="20"/>
          <w:lang w:val="hr-HR" w:eastAsia="en-US"/>
        </w:rPr>
        <w:t>Najnovija praksa disciplinskih komisija VSTV-a u vezi sa poštivanjem etičkih načela</w:t>
      </w:r>
    </w:p>
    <w:p w14:paraId="75F59717" w14:textId="77777777" w:rsidR="0057777A" w:rsidRPr="0057777A" w:rsidRDefault="00F12303" w:rsidP="00D84178">
      <w:pPr>
        <w:pStyle w:val="NormalWeb"/>
        <w:spacing w:line="276" w:lineRule="auto"/>
        <w:rPr>
          <w:rFonts w:ascii="Verdana" w:eastAsiaTheme="minorHAnsi" w:hAnsi="Verdana" w:cstheme="minorHAnsi"/>
          <w:sz w:val="20"/>
          <w:szCs w:val="20"/>
          <w:lang w:val="hr-HR" w:eastAsia="en-US"/>
        </w:rPr>
      </w:pPr>
      <w:r w:rsidRPr="00F12303">
        <w:rPr>
          <w:rFonts w:ascii="Verdana" w:eastAsiaTheme="minorHAnsi" w:hAnsi="Verdana" w:cstheme="minorHAnsi"/>
          <w:sz w:val="20"/>
          <w:szCs w:val="20"/>
          <w:lang w:val="hr-HR" w:eastAsia="en-US"/>
        </w:rPr>
        <w:t>Ukupno trajanje obuka iznosilo je 9 dana, a pohađalo ih je 57 sudija i 14 tužilaca.</w:t>
      </w:r>
    </w:p>
    <w:p w14:paraId="69B23B93" w14:textId="77777777" w:rsidR="003F7EDC" w:rsidRDefault="00DE2D9A" w:rsidP="00D84178">
      <w:pPr>
        <w:spacing w:line="276" w:lineRule="auto"/>
        <w:jc w:val="both"/>
        <w:rPr>
          <w:rFonts w:ascii="Verdana" w:hAnsi="Verdana" w:cstheme="minorHAnsi"/>
          <w:sz w:val="20"/>
          <w:szCs w:val="20"/>
          <w:lang w:val="hr-HR"/>
        </w:rPr>
      </w:pPr>
      <w:r w:rsidRPr="001549C3">
        <w:rPr>
          <w:rFonts w:ascii="Verdana" w:hAnsi="Verdana" w:cstheme="minorHAnsi"/>
          <w:bCs/>
          <w:iCs/>
          <w:sz w:val="20"/>
          <w:szCs w:val="20"/>
          <w:lang w:val="hr-HR"/>
        </w:rPr>
        <w:t>Prosječna ocjena znanja nosilaca pravosudne funkcije prije obuke iz oblasti  sukoba interesa i pravosudne etike u kalendarskoj godini, Prosječna ocjena znanja nosilaca pravosudne funkcije nakon završene obuke (organizovane od strane CEST-ova) iz oblasti  sukoba interesa  i pravosudne etike i u kalendarskoj godini</w:t>
      </w:r>
      <w:r w:rsidRPr="001549C3">
        <w:rPr>
          <w:rFonts w:ascii="Verdana" w:hAnsi="Verdana" w:cstheme="minorHAnsi"/>
          <w:sz w:val="20"/>
          <w:szCs w:val="20"/>
          <w:lang w:val="hr-HR"/>
        </w:rPr>
        <w:t xml:space="preserve">, nisu mogli biti izračunati s obzirom da uneseni podaci sugerišu da znanje ili nije testirano ili nije ocijenjeno. </w:t>
      </w:r>
    </w:p>
    <w:p w14:paraId="75A457BB" w14:textId="77777777" w:rsidR="00740DE7" w:rsidRDefault="00DE2D9A" w:rsidP="00D84178">
      <w:pPr>
        <w:spacing w:line="276" w:lineRule="auto"/>
        <w:jc w:val="both"/>
        <w:rPr>
          <w:rFonts w:ascii="Verdana" w:hAnsi="Verdana" w:cstheme="minorHAnsi"/>
          <w:sz w:val="20"/>
          <w:szCs w:val="20"/>
          <w:lang w:val="hr-HR"/>
        </w:rPr>
      </w:pPr>
      <w:r w:rsidRPr="001549C3">
        <w:rPr>
          <w:rFonts w:ascii="Verdana" w:hAnsi="Verdana" w:cstheme="minorHAnsi"/>
          <w:sz w:val="20"/>
          <w:szCs w:val="20"/>
          <w:lang w:val="hr-HR"/>
        </w:rPr>
        <w:t xml:space="preserve">Što se </w:t>
      </w:r>
      <w:r w:rsidR="00F12303">
        <w:rPr>
          <w:rFonts w:ascii="Verdana" w:hAnsi="Verdana" w:cstheme="minorHAnsi"/>
          <w:sz w:val="20"/>
          <w:szCs w:val="20"/>
          <w:lang w:val="hr-HR"/>
        </w:rPr>
        <w:t>tiče podatka</w:t>
      </w:r>
      <w:r w:rsidRPr="001549C3">
        <w:rPr>
          <w:rFonts w:ascii="Verdana" w:hAnsi="Verdana" w:cstheme="minorHAnsi"/>
          <w:bCs/>
          <w:iCs/>
          <w:sz w:val="20"/>
          <w:szCs w:val="20"/>
          <w:lang w:val="hr-HR"/>
        </w:rPr>
        <w:t xml:space="preserve"> </w:t>
      </w:r>
      <w:r w:rsidR="00F12303">
        <w:rPr>
          <w:rFonts w:ascii="Verdana" w:hAnsi="Verdana" w:cstheme="minorHAnsi"/>
          <w:bCs/>
          <w:iCs/>
          <w:sz w:val="20"/>
          <w:szCs w:val="20"/>
          <w:lang w:val="hr-HR"/>
        </w:rPr>
        <w:t>o b</w:t>
      </w:r>
      <w:r w:rsidRPr="001549C3">
        <w:rPr>
          <w:rFonts w:ascii="Verdana" w:hAnsi="Verdana" w:cstheme="minorHAnsi"/>
          <w:bCs/>
          <w:iCs/>
          <w:sz w:val="20"/>
          <w:szCs w:val="20"/>
          <w:lang w:val="hr-HR"/>
        </w:rPr>
        <w:t>roj</w:t>
      </w:r>
      <w:r w:rsidR="00F12303">
        <w:rPr>
          <w:rFonts w:ascii="Verdana" w:hAnsi="Verdana" w:cstheme="minorHAnsi"/>
          <w:bCs/>
          <w:iCs/>
          <w:sz w:val="20"/>
          <w:szCs w:val="20"/>
          <w:lang w:val="hr-HR"/>
        </w:rPr>
        <w:t>u</w:t>
      </w:r>
      <w:r w:rsidRPr="001549C3">
        <w:rPr>
          <w:rFonts w:ascii="Verdana" w:hAnsi="Verdana" w:cstheme="minorHAnsi"/>
          <w:bCs/>
          <w:iCs/>
          <w:sz w:val="20"/>
          <w:szCs w:val="20"/>
          <w:lang w:val="hr-HR"/>
        </w:rPr>
        <w:t xml:space="preserve"> nosilaca pravosudne funkcije kojima je </w:t>
      </w:r>
      <w:r w:rsidR="00F12303" w:rsidRPr="00F12303">
        <w:rPr>
          <w:rFonts w:ascii="Verdana" w:hAnsi="Verdana" w:cstheme="minorHAnsi"/>
          <w:bCs/>
          <w:iCs/>
          <w:sz w:val="20"/>
          <w:szCs w:val="20"/>
          <w:lang w:val="hr-HR"/>
        </w:rPr>
        <w:t>Vijeće odredilo učešće u obukama iz oblasti sukoba interesa i pravosudne etike umjesto ili uz disciplinsku mjeru</w:t>
      </w:r>
      <w:r w:rsidR="00F12303">
        <w:rPr>
          <w:rFonts w:ascii="Verdana" w:hAnsi="Verdana" w:cstheme="minorHAnsi"/>
          <w:bCs/>
          <w:iCs/>
          <w:sz w:val="20"/>
          <w:szCs w:val="20"/>
          <w:lang w:val="hr-HR"/>
        </w:rPr>
        <w:t xml:space="preserve"> </w:t>
      </w:r>
      <w:r w:rsidRPr="001549C3">
        <w:rPr>
          <w:rFonts w:ascii="Verdana" w:hAnsi="Verdana" w:cstheme="minorHAnsi"/>
          <w:bCs/>
          <w:iCs/>
          <w:sz w:val="20"/>
          <w:szCs w:val="20"/>
          <w:lang w:val="hr-HR"/>
        </w:rPr>
        <w:t xml:space="preserve">u kalendarskoj godini, a koji su pohađali obuku iz oblasti sukoba interesa i pravosudne etike </w:t>
      </w:r>
      <w:r w:rsidR="00F12303">
        <w:rPr>
          <w:rFonts w:ascii="Verdana" w:hAnsi="Verdana" w:cstheme="minorHAnsi"/>
          <w:bCs/>
          <w:iCs/>
          <w:sz w:val="20"/>
          <w:szCs w:val="20"/>
          <w:lang w:val="hr-HR"/>
        </w:rPr>
        <w:t>isti podaci nisu</w:t>
      </w:r>
      <w:r w:rsidR="00812D55" w:rsidRPr="001549C3">
        <w:rPr>
          <w:rFonts w:ascii="Verdana" w:hAnsi="Verdana" w:cstheme="minorHAnsi"/>
          <w:sz w:val="20"/>
          <w:szCs w:val="20"/>
          <w:lang w:val="hr-HR"/>
        </w:rPr>
        <w:t xml:space="preserve"> evidentiran</w:t>
      </w:r>
      <w:r w:rsidR="00F12303">
        <w:rPr>
          <w:rFonts w:ascii="Verdana" w:hAnsi="Verdana" w:cstheme="minorHAnsi"/>
          <w:sz w:val="20"/>
          <w:szCs w:val="20"/>
          <w:lang w:val="hr-HR"/>
        </w:rPr>
        <w:t>i</w:t>
      </w:r>
      <w:r w:rsidR="001549C3">
        <w:rPr>
          <w:rFonts w:ascii="Verdana" w:hAnsi="Verdana" w:cstheme="minorHAnsi"/>
          <w:sz w:val="20"/>
          <w:szCs w:val="20"/>
          <w:lang w:val="hr-HR"/>
        </w:rPr>
        <w:t xml:space="preserve">. </w:t>
      </w:r>
      <w:r w:rsidR="00740DE7">
        <w:rPr>
          <w:rFonts w:ascii="Verdana" w:hAnsi="Verdana" w:cstheme="minorHAnsi"/>
          <w:sz w:val="20"/>
          <w:szCs w:val="20"/>
          <w:lang w:val="hr-HR"/>
        </w:rPr>
        <w:t xml:space="preserve"> </w:t>
      </w:r>
    </w:p>
    <w:p w14:paraId="3CC69F43" w14:textId="4F9817CA" w:rsidR="003C66A4" w:rsidRDefault="00740DE7" w:rsidP="00D84178">
      <w:pPr>
        <w:spacing w:line="276" w:lineRule="auto"/>
        <w:jc w:val="both"/>
        <w:rPr>
          <w:rFonts w:ascii="Verdana" w:hAnsi="Verdana" w:cstheme="minorHAnsi"/>
          <w:sz w:val="20"/>
          <w:szCs w:val="20"/>
          <w:lang w:val="hr-HR"/>
        </w:rPr>
      </w:pPr>
      <w:r>
        <w:rPr>
          <w:rFonts w:ascii="Verdana" w:hAnsi="Verdana" w:cstheme="minorHAnsi"/>
          <w:sz w:val="20"/>
          <w:szCs w:val="20"/>
          <w:lang w:val="hr-HR"/>
        </w:rPr>
        <w:t xml:space="preserve">Uvidom u evidencije Odjela u toku </w:t>
      </w:r>
      <w:r w:rsidRPr="003F7EDC">
        <w:rPr>
          <w:rFonts w:ascii="Verdana" w:hAnsi="Verdana" w:cstheme="minorHAnsi"/>
          <w:sz w:val="20"/>
          <w:szCs w:val="20"/>
          <w:lang w:val="hr-HR"/>
        </w:rPr>
        <w:t>2025.</w:t>
      </w:r>
      <w:r>
        <w:rPr>
          <w:rFonts w:ascii="Verdana" w:hAnsi="Verdana" w:cstheme="minorHAnsi"/>
          <w:sz w:val="20"/>
          <w:szCs w:val="20"/>
          <w:lang w:val="hr-HR"/>
        </w:rPr>
        <w:t xml:space="preserve"> godine nije izrečena niti jedna mjera </w:t>
      </w:r>
      <w:r w:rsidRPr="00740DE7">
        <w:rPr>
          <w:rFonts w:ascii="Verdana" w:hAnsi="Verdana" w:cstheme="minorHAnsi"/>
          <w:sz w:val="20"/>
          <w:szCs w:val="20"/>
          <w:lang w:val="hr-HR"/>
        </w:rPr>
        <w:t>učešća u programu rehabilitacije, savjetovanja i stručnog usavršavanja</w:t>
      </w:r>
      <w:r>
        <w:rPr>
          <w:rFonts w:ascii="Verdana" w:hAnsi="Verdana" w:cstheme="minorHAnsi"/>
          <w:sz w:val="20"/>
          <w:szCs w:val="20"/>
          <w:lang w:val="hr-HR"/>
        </w:rPr>
        <w:t>.</w:t>
      </w:r>
    </w:p>
    <w:p w14:paraId="18D56D7D" w14:textId="4ED6045D" w:rsidR="00316D91" w:rsidRDefault="00316D91" w:rsidP="00D84178">
      <w:pPr>
        <w:spacing w:line="276" w:lineRule="auto"/>
        <w:jc w:val="both"/>
        <w:rPr>
          <w:rFonts w:ascii="Verdana" w:hAnsi="Verdana" w:cstheme="minorHAnsi"/>
          <w:sz w:val="20"/>
          <w:szCs w:val="20"/>
          <w:lang w:val="hr-HR"/>
        </w:rPr>
      </w:pPr>
    </w:p>
    <w:p w14:paraId="1F9B0182" w14:textId="189589AF" w:rsidR="00316D91" w:rsidRPr="001549C3" w:rsidRDefault="00316D91" w:rsidP="00D84178">
      <w:pPr>
        <w:spacing w:line="276" w:lineRule="auto"/>
        <w:jc w:val="both"/>
        <w:rPr>
          <w:rFonts w:ascii="Verdana" w:hAnsi="Verdana" w:cstheme="minorHAnsi"/>
          <w:sz w:val="20"/>
          <w:szCs w:val="20"/>
          <w:lang w:val="hr-HR"/>
        </w:rPr>
      </w:pPr>
    </w:p>
    <w:p w14:paraId="2AD8B0C5" w14:textId="77777777" w:rsidR="00292764" w:rsidRPr="00921582" w:rsidRDefault="00EC3346" w:rsidP="00D84178">
      <w:pPr>
        <w:pStyle w:val="Heading2"/>
        <w:spacing w:line="276" w:lineRule="auto"/>
        <w:rPr>
          <w:lang w:val="hr-HR"/>
        </w:rPr>
      </w:pPr>
      <w:bookmarkStart w:id="14" w:name="_Toc229748339"/>
      <w:r w:rsidRPr="00921582">
        <w:rPr>
          <w:lang w:val="bs-Latn-BA"/>
        </w:rPr>
        <w:lastRenderedPageBreak/>
        <w:t xml:space="preserve">3. </w:t>
      </w:r>
      <w:r w:rsidR="00292764" w:rsidRPr="00921582">
        <w:t xml:space="preserve">Evidencija prijava Uredu disciplinskog tužioca i evidencija izrečenih </w:t>
      </w:r>
      <w:r w:rsidR="00292764" w:rsidRPr="00921582">
        <w:rPr>
          <w:lang w:val="hr-HR"/>
        </w:rPr>
        <w:t xml:space="preserve">disciplinskih </w:t>
      </w:r>
      <w:r w:rsidR="00292764" w:rsidRPr="00921582">
        <w:t>mjera</w:t>
      </w:r>
      <w:bookmarkEnd w:id="14"/>
      <w:r w:rsidR="00292764" w:rsidRPr="00921582">
        <w:t xml:space="preserve"> </w:t>
      </w:r>
    </w:p>
    <w:p w14:paraId="560250D4" w14:textId="77777777" w:rsidR="00292764" w:rsidRDefault="00292764" w:rsidP="00D84178">
      <w:pPr>
        <w:spacing w:line="276" w:lineRule="auto"/>
        <w:rPr>
          <w:rFonts w:ascii="Gill Sans MT" w:hAnsi="Gill Sans MT"/>
          <w:sz w:val="22"/>
          <w:lang w:val="hr-HR"/>
        </w:rPr>
      </w:pPr>
    </w:p>
    <w:p w14:paraId="31E3B7FF" w14:textId="77777777" w:rsidR="002A5085" w:rsidRDefault="002A5085" w:rsidP="003A3A4E">
      <w:pPr>
        <w:spacing w:line="276" w:lineRule="auto"/>
        <w:jc w:val="both"/>
        <w:rPr>
          <w:rFonts w:ascii="Verdana" w:hAnsi="Verdana" w:cstheme="minorHAnsi"/>
          <w:sz w:val="20"/>
          <w:szCs w:val="20"/>
          <w:lang w:val="hr-HR"/>
        </w:rPr>
      </w:pPr>
      <w:r w:rsidRPr="001549C3">
        <w:rPr>
          <w:rFonts w:ascii="Verdana" w:hAnsi="Verdana" w:cstheme="minorHAnsi"/>
          <w:sz w:val="20"/>
          <w:szCs w:val="20"/>
          <w:lang w:val="hr-HR"/>
        </w:rPr>
        <w:t>Ured disciplinskog tužioca</w:t>
      </w:r>
      <w:r w:rsidR="003F7EDC">
        <w:rPr>
          <w:rFonts w:ascii="Verdana" w:hAnsi="Verdana" w:cstheme="minorHAnsi"/>
          <w:sz w:val="20"/>
          <w:szCs w:val="20"/>
          <w:lang w:val="hr-HR"/>
        </w:rPr>
        <w:t xml:space="preserve"> (u nastavku teksta: UDT)</w:t>
      </w:r>
      <w:r w:rsidRPr="001549C3">
        <w:rPr>
          <w:rFonts w:ascii="Verdana" w:hAnsi="Verdana" w:cstheme="minorHAnsi"/>
          <w:sz w:val="20"/>
          <w:szCs w:val="20"/>
          <w:lang w:val="hr-HR"/>
        </w:rPr>
        <w:t xml:space="preserve"> i Odjel redovno vode evidencije na osnovu kojih je moguće izračunati pokazatelje koji se odnose na prijave protiv nosilaca pravosudnih funkcija, disciplinske postupke, prekršaje i izrečene mjere. Podaci koji slijede</w:t>
      </w:r>
      <w:r w:rsidR="00320BE4">
        <w:rPr>
          <w:rFonts w:ascii="Verdana" w:hAnsi="Verdana" w:cstheme="minorHAnsi"/>
          <w:sz w:val="20"/>
          <w:szCs w:val="20"/>
          <w:lang w:val="hr-HR"/>
        </w:rPr>
        <w:t>,</w:t>
      </w:r>
      <w:r w:rsidRPr="001549C3">
        <w:rPr>
          <w:rFonts w:ascii="Verdana" w:hAnsi="Verdana" w:cstheme="minorHAnsi"/>
          <w:sz w:val="20"/>
          <w:szCs w:val="20"/>
          <w:lang w:val="hr-HR"/>
        </w:rPr>
        <w:t xml:space="preserve"> odnose se na 202</w:t>
      </w:r>
      <w:r w:rsidR="002C4168">
        <w:rPr>
          <w:rFonts w:ascii="Verdana" w:hAnsi="Verdana" w:cstheme="minorHAnsi"/>
          <w:sz w:val="20"/>
          <w:szCs w:val="20"/>
          <w:lang w:val="hr-HR"/>
        </w:rPr>
        <w:t>5</w:t>
      </w:r>
      <w:r w:rsidRPr="001549C3">
        <w:rPr>
          <w:rFonts w:ascii="Verdana" w:hAnsi="Verdana" w:cstheme="minorHAnsi"/>
          <w:sz w:val="20"/>
          <w:szCs w:val="20"/>
          <w:lang w:val="hr-HR"/>
        </w:rPr>
        <w:t>. godinu:</w:t>
      </w:r>
    </w:p>
    <w:p w14:paraId="08168975" w14:textId="77777777" w:rsidR="00BD41C1" w:rsidRPr="00BD41C1" w:rsidRDefault="00BD41C1" w:rsidP="003A3A4E">
      <w:pPr>
        <w:spacing w:line="276" w:lineRule="auto"/>
        <w:jc w:val="both"/>
        <w:rPr>
          <w:rFonts w:ascii="Verdana" w:hAnsi="Verdana" w:cstheme="minorHAnsi"/>
          <w:sz w:val="20"/>
          <w:szCs w:val="20"/>
          <w:lang w:val="hr-HR"/>
        </w:rPr>
      </w:pPr>
      <w:r w:rsidRPr="00BD41C1">
        <w:rPr>
          <w:rFonts w:ascii="Verdana" w:hAnsi="Verdana" w:cstheme="minorHAnsi"/>
          <w:sz w:val="20"/>
          <w:szCs w:val="20"/>
          <w:lang w:val="hr-HR"/>
        </w:rPr>
        <w:t>UDT je tokom 2025. godine, primio</w:t>
      </w:r>
      <w:r w:rsidR="00555CA3">
        <w:rPr>
          <w:rFonts w:ascii="Verdana" w:hAnsi="Verdana" w:cstheme="minorHAnsi"/>
          <w:sz w:val="20"/>
          <w:szCs w:val="20"/>
          <w:lang w:val="hr-HR"/>
        </w:rPr>
        <w:t>, odnosno po službenoj dužnosti</w:t>
      </w:r>
      <w:r w:rsidRPr="00BD41C1">
        <w:rPr>
          <w:rFonts w:ascii="Verdana" w:hAnsi="Verdana" w:cstheme="minorHAnsi"/>
          <w:sz w:val="20"/>
          <w:szCs w:val="20"/>
          <w:lang w:val="hr-HR"/>
        </w:rPr>
        <w:t xml:space="preserve"> registrovao ukupno 868 pritužbi.</w:t>
      </w:r>
    </w:p>
    <w:p w14:paraId="0CCB9E7B" w14:textId="77777777" w:rsidR="00BD41C1" w:rsidRDefault="00BD41C1" w:rsidP="003A3A4E">
      <w:pPr>
        <w:pStyle w:val="Tekst"/>
        <w:spacing w:line="276" w:lineRule="auto"/>
        <w:rPr>
          <w:rFonts w:ascii="Verdana" w:eastAsiaTheme="minorHAnsi" w:hAnsi="Verdana" w:cstheme="minorHAnsi"/>
          <w:sz w:val="20"/>
          <w:szCs w:val="20"/>
          <w:lang w:val="hr-HR"/>
        </w:rPr>
      </w:pPr>
      <w:r w:rsidRPr="00BD41C1">
        <w:rPr>
          <w:rFonts w:ascii="Verdana" w:eastAsiaTheme="minorHAnsi" w:hAnsi="Verdana" w:cstheme="minorHAnsi"/>
          <w:sz w:val="20"/>
          <w:szCs w:val="20"/>
          <w:lang w:val="hr-HR"/>
        </w:rPr>
        <w:t xml:space="preserve">Tokom 2025. godine pokrenuto je ukupno 35 disciplinskih postupaka protiv 35 nosilaca pravosudnih funkcija. Tako su disciplinski postupci pokrenuti protiv 26 sudija i </w:t>
      </w:r>
      <w:r>
        <w:rPr>
          <w:rFonts w:ascii="Verdana" w:eastAsiaTheme="minorHAnsi" w:hAnsi="Verdana" w:cstheme="minorHAnsi"/>
          <w:sz w:val="20"/>
          <w:szCs w:val="20"/>
          <w:lang w:val="hr-HR"/>
        </w:rPr>
        <w:t>5</w:t>
      </w:r>
      <w:r w:rsidRPr="00BD41C1">
        <w:rPr>
          <w:rFonts w:ascii="Verdana" w:eastAsiaTheme="minorHAnsi" w:hAnsi="Verdana" w:cstheme="minorHAnsi"/>
          <w:sz w:val="20"/>
          <w:szCs w:val="20"/>
          <w:lang w:val="hr-HR"/>
        </w:rPr>
        <w:t xml:space="preserve"> tužilaca, te </w:t>
      </w:r>
      <w:r>
        <w:rPr>
          <w:rFonts w:ascii="Verdana" w:eastAsiaTheme="minorHAnsi" w:hAnsi="Verdana" w:cstheme="minorHAnsi"/>
          <w:sz w:val="20"/>
          <w:szCs w:val="20"/>
          <w:lang w:val="hr-HR"/>
        </w:rPr>
        <w:t>4</w:t>
      </w:r>
      <w:r w:rsidRPr="00BD41C1">
        <w:rPr>
          <w:rFonts w:ascii="Verdana" w:eastAsiaTheme="minorHAnsi" w:hAnsi="Verdana" w:cstheme="minorHAnsi"/>
          <w:sz w:val="20"/>
          <w:szCs w:val="20"/>
          <w:lang w:val="hr-HR"/>
        </w:rPr>
        <w:t xml:space="preserve"> rukovodioca pravosudnih institucija (</w:t>
      </w:r>
      <w:r>
        <w:rPr>
          <w:rFonts w:ascii="Verdana" w:eastAsiaTheme="minorHAnsi" w:hAnsi="Verdana" w:cstheme="minorHAnsi"/>
          <w:sz w:val="20"/>
          <w:szCs w:val="20"/>
          <w:lang w:val="hr-HR"/>
        </w:rPr>
        <w:t>3</w:t>
      </w:r>
      <w:r w:rsidRPr="00BD41C1">
        <w:rPr>
          <w:rFonts w:ascii="Verdana" w:eastAsiaTheme="minorHAnsi" w:hAnsi="Verdana" w:cstheme="minorHAnsi"/>
          <w:sz w:val="20"/>
          <w:szCs w:val="20"/>
          <w:lang w:val="hr-HR"/>
        </w:rPr>
        <w:t xml:space="preserve"> predsjednika suda i </w:t>
      </w:r>
      <w:r>
        <w:rPr>
          <w:rFonts w:ascii="Verdana" w:eastAsiaTheme="minorHAnsi" w:hAnsi="Verdana" w:cstheme="minorHAnsi"/>
          <w:sz w:val="20"/>
          <w:szCs w:val="20"/>
          <w:lang w:val="hr-HR"/>
        </w:rPr>
        <w:t>1</w:t>
      </w:r>
      <w:r w:rsidRPr="00BD41C1">
        <w:rPr>
          <w:rFonts w:ascii="Verdana" w:eastAsiaTheme="minorHAnsi" w:hAnsi="Verdana" w:cstheme="minorHAnsi"/>
          <w:sz w:val="20"/>
          <w:szCs w:val="20"/>
          <w:lang w:val="hr-HR"/>
        </w:rPr>
        <w:t xml:space="preserve"> glavnog tužioca). </w:t>
      </w:r>
    </w:p>
    <w:p w14:paraId="7A8B82FC" w14:textId="77777777" w:rsidR="00BD41C1" w:rsidRPr="00BD41C1" w:rsidRDefault="00BD41C1" w:rsidP="003A3A4E">
      <w:pPr>
        <w:pStyle w:val="Tekst"/>
        <w:spacing w:line="276" w:lineRule="auto"/>
        <w:rPr>
          <w:rFonts w:ascii="Verdana" w:eastAsiaTheme="minorHAnsi" w:hAnsi="Verdana" w:cstheme="minorHAnsi"/>
          <w:sz w:val="20"/>
          <w:szCs w:val="20"/>
          <w:lang w:val="hr-HR"/>
        </w:rPr>
      </w:pPr>
    </w:p>
    <w:p w14:paraId="552D077D" w14:textId="77777777" w:rsidR="00BD41C1" w:rsidRDefault="00BD41C1" w:rsidP="003A3A4E">
      <w:pPr>
        <w:pStyle w:val="Tekst"/>
        <w:spacing w:line="276" w:lineRule="auto"/>
        <w:rPr>
          <w:rFonts w:ascii="Verdana" w:eastAsiaTheme="minorHAnsi" w:hAnsi="Verdana" w:cstheme="minorHAnsi"/>
          <w:sz w:val="20"/>
          <w:szCs w:val="20"/>
          <w:lang w:val="hr-HR"/>
        </w:rPr>
      </w:pPr>
      <w:r w:rsidRPr="00BD41C1">
        <w:rPr>
          <w:rFonts w:ascii="Verdana" w:eastAsiaTheme="minorHAnsi" w:hAnsi="Verdana" w:cstheme="minorHAnsi"/>
          <w:sz w:val="20"/>
          <w:szCs w:val="20"/>
          <w:lang w:val="hr-HR"/>
        </w:rPr>
        <w:t xml:space="preserve">Najveći broj disciplinskih postupaka protiv sudija pokrenut je zbog sljedećih disciplinskih prekršaja propisanih članom 56. Zakona o VSTV-u BiH: </w:t>
      </w:r>
    </w:p>
    <w:p w14:paraId="3B852FAF" w14:textId="77777777" w:rsidR="00BD41C1" w:rsidRPr="00BD41C1" w:rsidRDefault="00BD41C1" w:rsidP="003A3A4E">
      <w:pPr>
        <w:pStyle w:val="Tekst"/>
        <w:spacing w:line="276" w:lineRule="auto"/>
        <w:rPr>
          <w:rFonts w:ascii="Verdana" w:eastAsiaTheme="minorHAnsi" w:hAnsi="Verdana" w:cstheme="minorHAnsi"/>
          <w:sz w:val="20"/>
          <w:szCs w:val="20"/>
          <w:lang w:val="hr-HR"/>
        </w:rPr>
      </w:pPr>
    </w:p>
    <w:p w14:paraId="7F832E47" w14:textId="4E76C38E" w:rsidR="00BD41C1" w:rsidRPr="00D84178" w:rsidRDefault="00BD41C1" w:rsidP="003A3A4E">
      <w:pPr>
        <w:pStyle w:val="Tekst"/>
        <w:numPr>
          <w:ilvl w:val="0"/>
          <w:numId w:val="30"/>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tačka 10. „neopravdano kašnjenje u izradi odluka ili u drugim radnjama u vezi s obavljanjem dužnosti sudije  ili bilo kakvo drugo ponovljeno nepoštivanje dužnosti sudije” – </w:t>
      </w:r>
      <w:r w:rsidRPr="00D84178">
        <w:rPr>
          <w:rFonts w:ascii="Verdana" w:eastAsiaTheme="minorHAnsi" w:hAnsi="Verdana" w:cstheme="minorHAnsi"/>
          <w:b/>
          <w:sz w:val="20"/>
          <w:szCs w:val="20"/>
          <w:lang w:val="hr-HR"/>
        </w:rPr>
        <w:t>deset tužbi</w:t>
      </w:r>
      <w:r w:rsidRPr="00D84178">
        <w:rPr>
          <w:rFonts w:ascii="Verdana" w:eastAsiaTheme="minorHAnsi" w:hAnsi="Verdana" w:cstheme="minorHAnsi"/>
          <w:sz w:val="20"/>
          <w:szCs w:val="20"/>
          <w:lang w:val="hr-HR"/>
        </w:rPr>
        <w:t>;</w:t>
      </w:r>
    </w:p>
    <w:p w14:paraId="66935499" w14:textId="68363DBA" w:rsidR="00BD41C1" w:rsidRPr="00D84178" w:rsidRDefault="00BD41C1" w:rsidP="003A3A4E">
      <w:pPr>
        <w:pStyle w:val="Tekst"/>
        <w:numPr>
          <w:ilvl w:val="0"/>
          <w:numId w:val="30"/>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tačka 8. „nemar ili nepažnja u vršenju službenih dužnosti” – </w:t>
      </w:r>
      <w:r w:rsidR="003D30BC" w:rsidRPr="00D84178">
        <w:rPr>
          <w:rFonts w:ascii="Verdana" w:eastAsiaTheme="minorHAnsi" w:hAnsi="Verdana" w:cstheme="minorHAnsi"/>
          <w:b/>
          <w:sz w:val="20"/>
          <w:szCs w:val="20"/>
          <w:lang w:val="hr-HR"/>
        </w:rPr>
        <w:t>tri</w:t>
      </w:r>
      <w:r w:rsidRPr="00D84178">
        <w:rPr>
          <w:rFonts w:ascii="Verdana" w:eastAsiaTheme="minorHAnsi" w:hAnsi="Verdana" w:cstheme="minorHAnsi"/>
          <w:b/>
          <w:sz w:val="20"/>
          <w:szCs w:val="20"/>
          <w:lang w:val="hr-HR"/>
        </w:rPr>
        <w:t xml:space="preserve"> tužbe</w:t>
      </w:r>
      <w:r w:rsidRPr="00D84178">
        <w:rPr>
          <w:rFonts w:ascii="Verdana" w:eastAsiaTheme="minorHAnsi" w:hAnsi="Verdana" w:cstheme="minorHAnsi"/>
          <w:sz w:val="20"/>
          <w:szCs w:val="20"/>
          <w:lang w:val="hr-HR"/>
        </w:rPr>
        <w:t>;</w:t>
      </w:r>
    </w:p>
    <w:p w14:paraId="3D2166B2" w14:textId="398A0C14" w:rsidR="00BD41C1" w:rsidRPr="00D84178" w:rsidRDefault="00BD41C1" w:rsidP="003A3A4E">
      <w:pPr>
        <w:pStyle w:val="Tekst"/>
        <w:numPr>
          <w:ilvl w:val="0"/>
          <w:numId w:val="30"/>
        </w:numPr>
        <w:spacing w:line="276" w:lineRule="auto"/>
        <w:ind w:left="0" w:firstLine="0"/>
        <w:rPr>
          <w:rFonts w:ascii="Verdana" w:eastAsiaTheme="minorHAnsi" w:hAnsi="Verdana" w:cstheme="minorHAnsi"/>
          <w:b/>
          <w:sz w:val="20"/>
          <w:szCs w:val="20"/>
          <w:u w:val="single"/>
          <w:lang w:val="hr-HR"/>
        </w:rPr>
      </w:pPr>
      <w:r w:rsidRPr="00D84178">
        <w:rPr>
          <w:rFonts w:ascii="Verdana" w:eastAsiaTheme="minorHAnsi" w:hAnsi="Verdana" w:cstheme="minorHAnsi"/>
          <w:sz w:val="20"/>
          <w:szCs w:val="20"/>
          <w:lang w:val="hr-HR"/>
        </w:rPr>
        <w:t>tačka 3. „očigledno kršenje obaveze ispravnog postupanja prema strankama u postupku, njihovim pravnim zastupnicima, sv</w:t>
      </w:r>
      <w:r w:rsidR="00D84178" w:rsidRPr="00D84178">
        <w:rPr>
          <w:rFonts w:ascii="Verdana" w:eastAsiaTheme="minorHAnsi" w:hAnsi="Verdana" w:cstheme="minorHAnsi"/>
          <w:sz w:val="20"/>
          <w:szCs w:val="20"/>
          <w:lang w:val="hr-HR"/>
        </w:rPr>
        <w:t xml:space="preserve">jedocima, ili drugim osobama” – </w:t>
      </w:r>
      <w:r w:rsidR="00D84178" w:rsidRPr="00D84178">
        <w:rPr>
          <w:rFonts w:ascii="Verdana" w:eastAsiaTheme="minorHAnsi" w:hAnsi="Verdana" w:cstheme="minorHAnsi"/>
          <w:b/>
          <w:sz w:val="20"/>
          <w:szCs w:val="20"/>
          <w:lang w:val="hr-HR"/>
        </w:rPr>
        <w:t>dvije</w:t>
      </w:r>
      <w:r w:rsidRPr="00D84178">
        <w:rPr>
          <w:rFonts w:ascii="Verdana" w:eastAsiaTheme="minorHAnsi" w:hAnsi="Verdana" w:cstheme="minorHAnsi"/>
          <w:b/>
          <w:sz w:val="20"/>
          <w:szCs w:val="20"/>
          <w:lang w:val="hr-HR"/>
        </w:rPr>
        <w:t xml:space="preserve"> tužbe</w:t>
      </w:r>
      <w:r w:rsidR="00D84178" w:rsidRPr="00D84178">
        <w:rPr>
          <w:rFonts w:ascii="Verdana" w:eastAsiaTheme="minorHAnsi" w:hAnsi="Verdana" w:cstheme="minorHAnsi"/>
          <w:sz w:val="20"/>
          <w:szCs w:val="20"/>
          <w:lang w:val="hr-HR"/>
        </w:rPr>
        <w:t>;</w:t>
      </w:r>
    </w:p>
    <w:p w14:paraId="456D90D5" w14:textId="5CFFD86B" w:rsidR="00BD41C1" w:rsidRPr="00D84178" w:rsidRDefault="00BD41C1" w:rsidP="003A3A4E">
      <w:pPr>
        <w:pStyle w:val="Tekst"/>
        <w:numPr>
          <w:ilvl w:val="0"/>
          <w:numId w:val="30"/>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tačka 9. „donošenje odluka kojim se očigledno krši zakon ili uporno i neopravdano kršenje pravila postupka“ – </w:t>
      </w:r>
      <w:r w:rsidRPr="00D84178">
        <w:rPr>
          <w:rFonts w:ascii="Verdana" w:eastAsiaTheme="minorHAnsi" w:hAnsi="Verdana" w:cstheme="minorHAnsi"/>
          <w:b/>
          <w:sz w:val="20"/>
          <w:szCs w:val="20"/>
          <w:lang w:val="hr-HR"/>
        </w:rPr>
        <w:t>jedna tužba</w:t>
      </w:r>
      <w:r w:rsidRPr="00D84178">
        <w:rPr>
          <w:rFonts w:ascii="Verdana" w:eastAsiaTheme="minorHAnsi" w:hAnsi="Verdana" w:cstheme="minorHAnsi"/>
          <w:sz w:val="20"/>
          <w:szCs w:val="20"/>
          <w:lang w:val="hr-HR"/>
        </w:rPr>
        <w:t xml:space="preserve">; </w:t>
      </w:r>
    </w:p>
    <w:p w14:paraId="175A10E0" w14:textId="2F233196" w:rsidR="00BD41C1" w:rsidRPr="00D84178" w:rsidRDefault="00BD41C1" w:rsidP="003A3A4E">
      <w:pPr>
        <w:pStyle w:val="Tekst"/>
        <w:numPr>
          <w:ilvl w:val="0"/>
          <w:numId w:val="30"/>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tačka 12. „omogućavanje vršenja dužnosti sudije osobama koje na to nisu zakonom ovlaštene“ – </w:t>
      </w:r>
      <w:r w:rsidRPr="00D84178">
        <w:rPr>
          <w:rFonts w:ascii="Verdana" w:eastAsiaTheme="minorHAnsi" w:hAnsi="Verdana" w:cstheme="minorHAnsi"/>
          <w:b/>
          <w:sz w:val="20"/>
          <w:szCs w:val="20"/>
          <w:lang w:val="hr-HR"/>
        </w:rPr>
        <w:t>jedna tužba</w:t>
      </w:r>
      <w:r w:rsidRPr="00D84178">
        <w:rPr>
          <w:rFonts w:ascii="Verdana" w:eastAsiaTheme="minorHAnsi" w:hAnsi="Verdana" w:cstheme="minorHAnsi"/>
          <w:sz w:val="20"/>
          <w:szCs w:val="20"/>
          <w:lang w:val="hr-HR"/>
        </w:rPr>
        <w:t>;</w:t>
      </w:r>
    </w:p>
    <w:p w14:paraId="75461E83" w14:textId="0D3885E9" w:rsidR="00BD41C1" w:rsidRPr="00D84178" w:rsidRDefault="00BD41C1" w:rsidP="003A3A4E">
      <w:pPr>
        <w:pStyle w:val="Tekst"/>
        <w:numPr>
          <w:ilvl w:val="0"/>
          <w:numId w:val="30"/>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tačka 22. „ponašanje u sudu i izvan suda koje šteti ugledu sudijske funkcije“ – </w:t>
      </w:r>
      <w:r w:rsidRPr="00D84178">
        <w:rPr>
          <w:rFonts w:ascii="Verdana" w:eastAsiaTheme="minorHAnsi" w:hAnsi="Verdana" w:cstheme="minorHAnsi"/>
          <w:b/>
          <w:sz w:val="20"/>
          <w:szCs w:val="20"/>
          <w:lang w:val="hr-HR"/>
        </w:rPr>
        <w:t>jedna tužba</w:t>
      </w:r>
      <w:r w:rsidRPr="00D84178">
        <w:rPr>
          <w:rFonts w:ascii="Verdana" w:eastAsiaTheme="minorHAnsi" w:hAnsi="Verdana" w:cstheme="minorHAnsi"/>
          <w:sz w:val="20"/>
          <w:szCs w:val="20"/>
          <w:lang w:val="hr-HR"/>
        </w:rPr>
        <w:t>;</w:t>
      </w:r>
    </w:p>
    <w:p w14:paraId="1E0D9030" w14:textId="5D516E0F" w:rsidR="00BD41C1" w:rsidRPr="00D84178" w:rsidRDefault="00BD41C1" w:rsidP="003A3A4E">
      <w:pPr>
        <w:pStyle w:val="Tekst"/>
        <w:numPr>
          <w:ilvl w:val="0"/>
          <w:numId w:val="30"/>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tačka 23. „bilo kakvo drugo ponašanje koje predstavlja ozbiljno kršenje službene dužnosti ili dovodi u pitanje povjerenje javnosti u nepristrasnost i kredibilitet sudstva“– </w:t>
      </w:r>
      <w:r w:rsidRPr="00D84178">
        <w:rPr>
          <w:rFonts w:ascii="Verdana" w:eastAsiaTheme="minorHAnsi" w:hAnsi="Verdana" w:cstheme="minorHAnsi"/>
          <w:b/>
          <w:sz w:val="20"/>
          <w:szCs w:val="20"/>
          <w:lang w:val="hr-HR"/>
        </w:rPr>
        <w:t>jedna tužba</w:t>
      </w:r>
      <w:r w:rsidR="00D84178" w:rsidRPr="00D84178">
        <w:rPr>
          <w:rFonts w:ascii="Verdana" w:eastAsiaTheme="minorHAnsi" w:hAnsi="Verdana" w:cstheme="minorHAnsi"/>
          <w:sz w:val="20"/>
          <w:szCs w:val="20"/>
          <w:lang w:val="hr-HR"/>
        </w:rPr>
        <w:t>;</w:t>
      </w:r>
      <w:r w:rsidRPr="00D84178">
        <w:rPr>
          <w:rFonts w:ascii="Verdana" w:eastAsiaTheme="minorHAnsi" w:hAnsi="Verdana" w:cstheme="minorHAnsi"/>
          <w:sz w:val="20"/>
          <w:szCs w:val="20"/>
          <w:lang w:val="hr-HR"/>
        </w:rPr>
        <w:t xml:space="preserve"> </w:t>
      </w:r>
    </w:p>
    <w:p w14:paraId="09613A03" w14:textId="77777777" w:rsidR="00BD41C1" w:rsidRPr="00D84178" w:rsidRDefault="00BD41C1" w:rsidP="003A3A4E">
      <w:pPr>
        <w:pStyle w:val="Tekst"/>
        <w:spacing w:line="276" w:lineRule="auto"/>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Prema Zakonu o izmjenama i dopunama Zakona o VSTV-u BiH, disciplinski su postupci pokrenuti po sljedećem osnovu:</w:t>
      </w:r>
    </w:p>
    <w:p w14:paraId="71FB3DE2" w14:textId="16ADB2A2" w:rsidR="00BD41C1" w:rsidRPr="00D84178" w:rsidRDefault="00BD41C1" w:rsidP="003A3A4E">
      <w:pPr>
        <w:pStyle w:val="Tekst"/>
        <w:numPr>
          <w:ilvl w:val="0"/>
          <w:numId w:val="31"/>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član 56. stav 1 tačka d) „neopravdano kašnjenje u izradi odluke ili procesnim radnjama“ </w:t>
      </w:r>
      <w:r w:rsidR="00D84178" w:rsidRPr="00D84178">
        <w:rPr>
          <w:rFonts w:ascii="Verdana" w:eastAsiaTheme="minorHAnsi" w:hAnsi="Verdana" w:cstheme="minorHAnsi"/>
          <w:b/>
          <w:sz w:val="20"/>
          <w:szCs w:val="20"/>
          <w:lang w:val="hr-HR"/>
        </w:rPr>
        <w:t xml:space="preserve">– </w:t>
      </w:r>
      <w:r w:rsidR="003D30BC" w:rsidRPr="00D84178">
        <w:rPr>
          <w:rFonts w:ascii="Verdana" w:eastAsiaTheme="minorHAnsi" w:hAnsi="Verdana" w:cstheme="minorHAnsi"/>
          <w:b/>
          <w:sz w:val="20"/>
          <w:szCs w:val="20"/>
          <w:lang w:val="hr-HR"/>
        </w:rPr>
        <w:t>trinaest</w:t>
      </w:r>
      <w:r w:rsidRPr="00D84178">
        <w:rPr>
          <w:rFonts w:ascii="Verdana" w:eastAsiaTheme="minorHAnsi" w:hAnsi="Verdana" w:cstheme="minorHAnsi"/>
          <w:b/>
          <w:sz w:val="20"/>
          <w:szCs w:val="20"/>
          <w:lang w:val="hr-HR"/>
        </w:rPr>
        <w:t xml:space="preserve"> tužbi</w:t>
      </w:r>
      <w:r w:rsidR="00D84178" w:rsidRPr="00D84178">
        <w:rPr>
          <w:rFonts w:ascii="Verdana" w:eastAsiaTheme="minorHAnsi" w:hAnsi="Verdana" w:cstheme="minorHAnsi"/>
          <w:sz w:val="20"/>
          <w:szCs w:val="20"/>
          <w:lang w:val="hr-HR"/>
        </w:rPr>
        <w:t>;</w:t>
      </w:r>
      <w:r w:rsidRPr="00D84178">
        <w:rPr>
          <w:rFonts w:ascii="Verdana" w:eastAsiaTheme="minorHAnsi" w:hAnsi="Verdana" w:cstheme="minorHAnsi"/>
          <w:sz w:val="20"/>
          <w:szCs w:val="20"/>
          <w:lang w:val="hr-HR"/>
        </w:rPr>
        <w:t xml:space="preserve"> </w:t>
      </w:r>
    </w:p>
    <w:p w14:paraId="4E81FB2A" w14:textId="50C44B78" w:rsidR="00BD41C1" w:rsidRPr="00D84178" w:rsidRDefault="00BD41C1" w:rsidP="003A3A4E">
      <w:pPr>
        <w:pStyle w:val="Tekst"/>
        <w:numPr>
          <w:ilvl w:val="0"/>
          <w:numId w:val="31"/>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član 56. stav 1 tačka s) „kršenje principa Etičkog kodeksa sudija koji su doveli do narušavanja ugleda i integriteta pravosuđa, a koji ovim članom nisu propisani kao zaseban prekršaj“– </w:t>
      </w:r>
      <w:r w:rsidRPr="00D84178">
        <w:rPr>
          <w:rFonts w:ascii="Verdana" w:eastAsiaTheme="minorHAnsi" w:hAnsi="Verdana" w:cstheme="minorHAnsi"/>
          <w:b/>
          <w:sz w:val="20"/>
          <w:szCs w:val="20"/>
          <w:lang w:val="hr-HR"/>
        </w:rPr>
        <w:t>sedam tužbi</w:t>
      </w:r>
      <w:r w:rsidR="00D84178" w:rsidRPr="00D84178">
        <w:rPr>
          <w:rFonts w:ascii="Verdana" w:eastAsiaTheme="minorHAnsi" w:hAnsi="Verdana" w:cstheme="minorHAnsi"/>
          <w:sz w:val="20"/>
          <w:szCs w:val="20"/>
          <w:lang w:val="hr-HR"/>
        </w:rPr>
        <w:t>;</w:t>
      </w:r>
    </w:p>
    <w:p w14:paraId="6B8D6208" w14:textId="5FF8FDFC" w:rsidR="00BD41C1" w:rsidRPr="00D84178" w:rsidRDefault="00BD41C1" w:rsidP="003A3A4E">
      <w:pPr>
        <w:pStyle w:val="Tekst"/>
        <w:numPr>
          <w:ilvl w:val="0"/>
          <w:numId w:val="31"/>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član 56. stav 1 tačka l) „kršenje odredbi ovog zakona o dostavljanju izvještaja o imovini i interesima“ – </w:t>
      </w:r>
      <w:r w:rsidRPr="00D84178">
        <w:rPr>
          <w:rFonts w:ascii="Verdana" w:eastAsiaTheme="minorHAnsi" w:hAnsi="Verdana" w:cstheme="minorHAnsi"/>
          <w:b/>
          <w:sz w:val="20"/>
          <w:szCs w:val="20"/>
          <w:lang w:val="hr-HR"/>
        </w:rPr>
        <w:t>pet tužbi</w:t>
      </w:r>
      <w:r w:rsidR="00D84178" w:rsidRPr="00D84178">
        <w:rPr>
          <w:rFonts w:ascii="Verdana" w:eastAsiaTheme="minorHAnsi" w:hAnsi="Verdana" w:cstheme="minorHAnsi"/>
          <w:b/>
          <w:sz w:val="20"/>
          <w:szCs w:val="20"/>
          <w:lang w:val="hr-HR"/>
        </w:rPr>
        <w:t xml:space="preserve"> </w:t>
      </w:r>
      <w:r w:rsidR="00D84178" w:rsidRPr="00D84178">
        <w:rPr>
          <w:rFonts w:ascii="Verdana" w:eastAsiaTheme="minorHAnsi" w:hAnsi="Verdana" w:cstheme="minorHAnsi"/>
          <w:sz w:val="20"/>
          <w:szCs w:val="20"/>
          <w:lang w:val="hr-HR"/>
        </w:rPr>
        <w:t>i</w:t>
      </w:r>
    </w:p>
    <w:p w14:paraId="29F6BCB3" w14:textId="3733826C" w:rsidR="00BD41C1" w:rsidRPr="00D84178" w:rsidRDefault="00BD41C1" w:rsidP="003A3A4E">
      <w:pPr>
        <w:pStyle w:val="Tekst"/>
        <w:numPr>
          <w:ilvl w:val="0"/>
          <w:numId w:val="31"/>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lastRenderedPageBreak/>
        <w:t xml:space="preserve">član 56. stav 1 tačka i) „nepostupanje, iz neopravdanih razloga, po pravilniku, odluci, naredbi ili drugom aktu Vijeća“ – </w:t>
      </w:r>
      <w:r w:rsidR="003D30BC" w:rsidRPr="00D84178">
        <w:rPr>
          <w:rFonts w:ascii="Verdana" w:eastAsiaTheme="minorHAnsi" w:hAnsi="Verdana" w:cstheme="minorHAnsi"/>
          <w:b/>
          <w:sz w:val="20"/>
          <w:szCs w:val="20"/>
          <w:lang w:val="hr-HR"/>
        </w:rPr>
        <w:t>jedna</w:t>
      </w:r>
      <w:r w:rsidR="00D84178" w:rsidRPr="00D84178">
        <w:rPr>
          <w:rFonts w:ascii="Verdana" w:eastAsiaTheme="minorHAnsi" w:hAnsi="Verdana" w:cstheme="minorHAnsi"/>
          <w:b/>
          <w:sz w:val="20"/>
          <w:szCs w:val="20"/>
          <w:lang w:val="hr-HR"/>
        </w:rPr>
        <w:t xml:space="preserve"> </w:t>
      </w:r>
      <w:r w:rsidRPr="00D84178">
        <w:rPr>
          <w:rFonts w:ascii="Verdana" w:eastAsiaTheme="minorHAnsi" w:hAnsi="Verdana" w:cstheme="minorHAnsi"/>
          <w:b/>
          <w:sz w:val="20"/>
          <w:szCs w:val="20"/>
          <w:lang w:val="hr-HR"/>
        </w:rPr>
        <w:t>tužba</w:t>
      </w:r>
      <w:r w:rsidR="00D84178" w:rsidRPr="00D84178">
        <w:rPr>
          <w:rFonts w:ascii="Verdana" w:eastAsiaTheme="minorHAnsi" w:hAnsi="Verdana" w:cstheme="minorHAnsi"/>
          <w:b/>
          <w:sz w:val="20"/>
          <w:szCs w:val="20"/>
          <w:lang w:val="hr-HR"/>
        </w:rPr>
        <w:t>.</w:t>
      </w:r>
    </w:p>
    <w:p w14:paraId="3BB0ADCE" w14:textId="5F788A92" w:rsidR="00BD41C1" w:rsidRPr="00D84178" w:rsidRDefault="003D30BC" w:rsidP="003A3A4E">
      <w:pPr>
        <w:pStyle w:val="Tekst"/>
        <w:spacing w:line="276" w:lineRule="auto"/>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Prema informacijama UDT-a, z</w:t>
      </w:r>
      <w:r w:rsidR="00BD41C1" w:rsidRPr="00D84178">
        <w:rPr>
          <w:rFonts w:ascii="Verdana" w:eastAsiaTheme="minorHAnsi" w:hAnsi="Verdana" w:cstheme="minorHAnsi"/>
          <w:sz w:val="20"/>
          <w:szCs w:val="20"/>
          <w:lang w:val="hr-HR"/>
        </w:rPr>
        <w:t xml:space="preserve">bir ukupnih disciplinskih prekršaja ne može odgovarati broju pokrenutih disciplinskih postupaka, jer su neki disciplinski postupci pokrenuti zbog više počinjenih disciplinskih prekršaja. </w:t>
      </w:r>
    </w:p>
    <w:p w14:paraId="5CB4AE9A" w14:textId="29B84136" w:rsidR="00D84178" w:rsidRPr="00D84178" w:rsidRDefault="00D84178" w:rsidP="003A3A4E">
      <w:pPr>
        <w:pStyle w:val="Tekst"/>
        <w:spacing w:line="276" w:lineRule="auto"/>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UDT je protiv tužilaca u 2025. godini pokrenuo najviše disciplinskih postupaka u vezi sa sljedećim disciplinskim prekršajima propisanim članom 57. Zakona o VSTV-u BiH: </w:t>
      </w:r>
    </w:p>
    <w:p w14:paraId="1A9B30D3" w14:textId="71499EE1" w:rsidR="00D84178" w:rsidRPr="00D84178" w:rsidRDefault="00D84178" w:rsidP="003A3A4E">
      <w:pPr>
        <w:pStyle w:val="Tekst"/>
        <w:numPr>
          <w:ilvl w:val="0"/>
          <w:numId w:val="33"/>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 tačka 8) „nemar ili nepažnja u vršenju službenih dužnosti” – </w:t>
      </w:r>
      <w:r w:rsidRPr="00D84178">
        <w:rPr>
          <w:rFonts w:ascii="Verdana" w:eastAsiaTheme="minorHAnsi" w:hAnsi="Verdana" w:cstheme="minorHAnsi"/>
          <w:b/>
          <w:sz w:val="20"/>
          <w:szCs w:val="20"/>
          <w:lang w:val="hr-HR"/>
        </w:rPr>
        <w:t>jedna tužba</w:t>
      </w:r>
      <w:r w:rsidRPr="00D84178">
        <w:rPr>
          <w:rFonts w:ascii="Verdana" w:eastAsiaTheme="minorHAnsi" w:hAnsi="Verdana" w:cstheme="minorHAnsi"/>
          <w:sz w:val="20"/>
          <w:szCs w:val="20"/>
          <w:lang w:val="hr-HR"/>
        </w:rPr>
        <w:t xml:space="preserve">; </w:t>
      </w:r>
    </w:p>
    <w:p w14:paraId="4EACD130" w14:textId="030E4577" w:rsidR="00D84178" w:rsidRPr="00D84178" w:rsidRDefault="00D84178" w:rsidP="003A3A4E">
      <w:pPr>
        <w:pStyle w:val="Tekst"/>
        <w:numPr>
          <w:ilvl w:val="0"/>
          <w:numId w:val="33"/>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 tačka 22) „ponašanje u sudu ili tužilaštvu i izvan suda ili tužilaštva koje šteti ugledu </w:t>
      </w:r>
    </w:p>
    <w:p w14:paraId="56E203AA" w14:textId="77777777" w:rsidR="00D84178" w:rsidRPr="00D84178" w:rsidRDefault="00D84178" w:rsidP="003A3A4E">
      <w:pPr>
        <w:pStyle w:val="Tekst"/>
        <w:spacing w:line="276" w:lineRule="auto"/>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tužilačke funkcije” – </w:t>
      </w:r>
      <w:r w:rsidRPr="00D84178">
        <w:rPr>
          <w:rFonts w:ascii="Verdana" w:eastAsiaTheme="minorHAnsi" w:hAnsi="Verdana" w:cstheme="minorHAnsi"/>
          <w:b/>
          <w:sz w:val="20"/>
          <w:szCs w:val="20"/>
          <w:lang w:val="hr-HR"/>
        </w:rPr>
        <w:t>jedna tužba</w:t>
      </w:r>
      <w:r w:rsidRPr="00D84178">
        <w:rPr>
          <w:rFonts w:ascii="Verdana" w:eastAsiaTheme="minorHAnsi" w:hAnsi="Verdana" w:cstheme="minorHAnsi"/>
          <w:sz w:val="20"/>
          <w:szCs w:val="20"/>
          <w:lang w:val="hr-HR"/>
        </w:rPr>
        <w:t xml:space="preserve">. </w:t>
      </w:r>
    </w:p>
    <w:p w14:paraId="37B379CF" w14:textId="77777777" w:rsidR="00D84178" w:rsidRPr="00D84178" w:rsidRDefault="00D84178" w:rsidP="003A3A4E">
      <w:pPr>
        <w:pStyle w:val="Tekst"/>
        <w:spacing w:line="276" w:lineRule="auto"/>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Prema Zakonu o izmjenama i dopunama Zakona o VSTV-u BiH, disciplinski postupci protiv </w:t>
      </w:r>
    </w:p>
    <w:p w14:paraId="7B54C6FF" w14:textId="77777777" w:rsidR="00D84178" w:rsidRPr="00D84178" w:rsidRDefault="00D84178" w:rsidP="003A3A4E">
      <w:pPr>
        <w:pStyle w:val="Tekst"/>
        <w:spacing w:line="276" w:lineRule="auto"/>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tužilaca pokrenuti su po sljedećem osnovu: </w:t>
      </w:r>
    </w:p>
    <w:p w14:paraId="3D9471C0" w14:textId="3C6E597C" w:rsidR="00D84178" w:rsidRPr="00D84178" w:rsidRDefault="00D84178" w:rsidP="003A3A4E">
      <w:pPr>
        <w:pStyle w:val="Tekst"/>
        <w:numPr>
          <w:ilvl w:val="0"/>
          <w:numId w:val="33"/>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 član 57. stav (1) tačka d) „neopravdano kašnjenje u provođenju radnji u vezi s vršenjem funkcije tužioca“ – </w:t>
      </w:r>
      <w:r w:rsidRPr="00D84178">
        <w:rPr>
          <w:rFonts w:ascii="Verdana" w:eastAsiaTheme="minorHAnsi" w:hAnsi="Verdana" w:cstheme="minorHAnsi"/>
          <w:b/>
          <w:sz w:val="20"/>
          <w:szCs w:val="20"/>
          <w:lang w:val="hr-HR"/>
        </w:rPr>
        <w:t>tri tužbe</w:t>
      </w:r>
      <w:r w:rsidRPr="00D84178">
        <w:rPr>
          <w:rFonts w:ascii="Verdana" w:eastAsiaTheme="minorHAnsi" w:hAnsi="Verdana" w:cstheme="minorHAnsi"/>
          <w:sz w:val="20"/>
          <w:szCs w:val="20"/>
          <w:lang w:val="hr-HR"/>
        </w:rPr>
        <w:t xml:space="preserve">; </w:t>
      </w:r>
    </w:p>
    <w:p w14:paraId="02DCAC98" w14:textId="5B54016D" w:rsidR="00D84178" w:rsidRPr="00D84178" w:rsidRDefault="00D84178" w:rsidP="003A3A4E">
      <w:pPr>
        <w:pStyle w:val="Tekst"/>
        <w:numPr>
          <w:ilvl w:val="0"/>
          <w:numId w:val="33"/>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 član 57. stav (1) tačka a) „odavanje povjerljive informacije koja proizlazi iz vršenja </w:t>
      </w:r>
    </w:p>
    <w:p w14:paraId="66D5EE86" w14:textId="77777777" w:rsidR="00D84178" w:rsidRPr="00D84178" w:rsidRDefault="00D84178" w:rsidP="003A3A4E">
      <w:pPr>
        <w:pStyle w:val="Tekst"/>
        <w:spacing w:line="276" w:lineRule="auto"/>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funkcije tužioca“ – </w:t>
      </w:r>
      <w:r w:rsidRPr="00D84178">
        <w:rPr>
          <w:rFonts w:ascii="Verdana" w:eastAsiaTheme="minorHAnsi" w:hAnsi="Verdana" w:cstheme="minorHAnsi"/>
          <w:b/>
          <w:sz w:val="20"/>
          <w:szCs w:val="20"/>
          <w:lang w:val="hr-HR"/>
        </w:rPr>
        <w:t>jedna tužba</w:t>
      </w:r>
      <w:r w:rsidRPr="00D84178">
        <w:rPr>
          <w:rFonts w:ascii="Verdana" w:eastAsiaTheme="minorHAnsi" w:hAnsi="Verdana" w:cstheme="minorHAnsi"/>
          <w:sz w:val="20"/>
          <w:szCs w:val="20"/>
          <w:lang w:val="hr-HR"/>
        </w:rPr>
        <w:t xml:space="preserve">; </w:t>
      </w:r>
    </w:p>
    <w:p w14:paraId="382C8A70" w14:textId="44F81B50" w:rsidR="00D84178" w:rsidRPr="00D84178" w:rsidRDefault="00D84178" w:rsidP="003A3A4E">
      <w:pPr>
        <w:pStyle w:val="Tekst"/>
        <w:numPr>
          <w:ilvl w:val="0"/>
          <w:numId w:val="33"/>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 član 57. stav (1) tačka l) „kršenje odredbi ovog zakona o dostavljanju izvještaja o </w:t>
      </w:r>
    </w:p>
    <w:p w14:paraId="1FC7A98E" w14:textId="77777777" w:rsidR="00D84178" w:rsidRPr="00D84178" w:rsidRDefault="00D84178" w:rsidP="003A3A4E">
      <w:pPr>
        <w:pStyle w:val="Tekst"/>
        <w:spacing w:line="276" w:lineRule="auto"/>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imovini i interesima“ – </w:t>
      </w:r>
      <w:r w:rsidRPr="00D84178">
        <w:rPr>
          <w:rFonts w:ascii="Verdana" w:eastAsiaTheme="minorHAnsi" w:hAnsi="Verdana" w:cstheme="minorHAnsi"/>
          <w:b/>
          <w:sz w:val="20"/>
          <w:szCs w:val="20"/>
          <w:lang w:val="hr-HR"/>
        </w:rPr>
        <w:t>jedna tužba</w:t>
      </w:r>
      <w:r w:rsidRPr="00D84178">
        <w:rPr>
          <w:rFonts w:ascii="Verdana" w:eastAsiaTheme="minorHAnsi" w:hAnsi="Verdana" w:cstheme="minorHAnsi"/>
          <w:sz w:val="20"/>
          <w:szCs w:val="20"/>
          <w:lang w:val="hr-HR"/>
        </w:rPr>
        <w:t xml:space="preserve">; </w:t>
      </w:r>
    </w:p>
    <w:p w14:paraId="49C06F46" w14:textId="56EA89D8" w:rsidR="00D84178" w:rsidRPr="00D84178" w:rsidRDefault="00D84178" w:rsidP="003A3A4E">
      <w:pPr>
        <w:pStyle w:val="Tekst"/>
        <w:numPr>
          <w:ilvl w:val="0"/>
          <w:numId w:val="33"/>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 članak 57. stav (1) tačka i) „nepostupanje, iz neopravdanih razloga, po pravilniku, </w:t>
      </w:r>
    </w:p>
    <w:p w14:paraId="76799D3A" w14:textId="77777777" w:rsidR="00D84178" w:rsidRPr="00D84178" w:rsidRDefault="00D84178" w:rsidP="003A3A4E">
      <w:pPr>
        <w:pStyle w:val="Tekst"/>
        <w:spacing w:line="276" w:lineRule="auto"/>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odluci, naredbi ili drugom aktu Vijeća” – </w:t>
      </w:r>
      <w:r w:rsidRPr="00D84178">
        <w:rPr>
          <w:rFonts w:ascii="Verdana" w:eastAsiaTheme="minorHAnsi" w:hAnsi="Verdana" w:cstheme="minorHAnsi"/>
          <w:b/>
          <w:sz w:val="20"/>
          <w:szCs w:val="20"/>
          <w:lang w:val="hr-HR"/>
        </w:rPr>
        <w:t>jedna tužba</w:t>
      </w:r>
      <w:r w:rsidRPr="00D84178">
        <w:rPr>
          <w:rFonts w:ascii="Verdana" w:eastAsiaTheme="minorHAnsi" w:hAnsi="Verdana" w:cstheme="minorHAnsi"/>
          <w:sz w:val="20"/>
          <w:szCs w:val="20"/>
          <w:lang w:val="hr-HR"/>
        </w:rPr>
        <w:t xml:space="preserve">; </w:t>
      </w:r>
    </w:p>
    <w:p w14:paraId="0893F3AC" w14:textId="6A7C11CC" w:rsidR="00D84178" w:rsidRPr="00D84178" w:rsidRDefault="00D84178" w:rsidP="003A3A4E">
      <w:pPr>
        <w:pStyle w:val="Tekst"/>
        <w:numPr>
          <w:ilvl w:val="0"/>
          <w:numId w:val="33"/>
        </w:numPr>
        <w:spacing w:line="276" w:lineRule="auto"/>
        <w:ind w:left="0" w:firstLine="0"/>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 xml:space="preserve"> član 57. stav (1) tačka t) „kršenje principa Etičkog kodeksa tužilaca koji su doveli do narušavanja ugleda i integriteta pravosuđa, a koji ovim članom nisu propisani kao zaseban prekršaj“ – </w:t>
      </w:r>
      <w:r w:rsidRPr="00D84178">
        <w:rPr>
          <w:rFonts w:ascii="Verdana" w:eastAsiaTheme="minorHAnsi" w:hAnsi="Verdana" w:cstheme="minorHAnsi"/>
          <w:b/>
          <w:sz w:val="20"/>
          <w:szCs w:val="20"/>
          <w:lang w:val="hr-HR"/>
        </w:rPr>
        <w:t>jedna tužba</w:t>
      </w:r>
      <w:r w:rsidRPr="00D84178">
        <w:rPr>
          <w:rFonts w:ascii="Verdana" w:eastAsiaTheme="minorHAnsi" w:hAnsi="Verdana" w:cstheme="minorHAnsi"/>
          <w:sz w:val="20"/>
          <w:szCs w:val="20"/>
          <w:lang w:val="hr-HR"/>
        </w:rPr>
        <w:t xml:space="preserve">. </w:t>
      </w:r>
    </w:p>
    <w:p w14:paraId="2E68FCB9" w14:textId="56BF98C3" w:rsidR="00D84178" w:rsidRDefault="00D84178" w:rsidP="003A3A4E">
      <w:pPr>
        <w:pStyle w:val="Tekst"/>
        <w:spacing w:line="276" w:lineRule="auto"/>
        <w:rPr>
          <w:rFonts w:ascii="Verdana" w:eastAsiaTheme="minorHAnsi" w:hAnsi="Verdana" w:cstheme="minorHAnsi"/>
          <w:sz w:val="20"/>
          <w:szCs w:val="20"/>
          <w:lang w:val="hr-HR"/>
        </w:rPr>
      </w:pPr>
      <w:r w:rsidRPr="00D84178">
        <w:rPr>
          <w:rFonts w:ascii="Verdana" w:eastAsiaTheme="minorHAnsi" w:hAnsi="Verdana" w:cstheme="minorHAnsi"/>
          <w:sz w:val="20"/>
          <w:szCs w:val="20"/>
          <w:lang w:val="hr-HR"/>
        </w:rPr>
        <w:t>Također, i ovdje je potrebno naglasiti da zbir ukupnih disciplinskih prekršaja ne može odgovarati broju pokrenutih disciplinskih postupaka iz prethodno navedenog razloga.</w:t>
      </w:r>
    </w:p>
    <w:p w14:paraId="21C73148" w14:textId="71BA5C03" w:rsidR="00D84178" w:rsidRDefault="00D84178" w:rsidP="00D84178">
      <w:pPr>
        <w:pStyle w:val="Tekst"/>
        <w:spacing w:line="276" w:lineRule="auto"/>
        <w:rPr>
          <w:rFonts w:ascii="Verdana" w:eastAsiaTheme="minorHAnsi" w:hAnsi="Verdana" w:cstheme="minorHAnsi"/>
          <w:sz w:val="20"/>
          <w:szCs w:val="20"/>
          <w:lang w:val="hr-HR"/>
        </w:rPr>
      </w:pPr>
    </w:p>
    <w:p w14:paraId="1568DC86" w14:textId="59B50396" w:rsidR="00D84178" w:rsidRDefault="00D84178" w:rsidP="00D84178">
      <w:pPr>
        <w:pStyle w:val="Tekst"/>
        <w:spacing w:line="276" w:lineRule="auto"/>
        <w:rPr>
          <w:rFonts w:ascii="Verdana" w:eastAsiaTheme="minorHAnsi" w:hAnsi="Verdana" w:cstheme="minorHAnsi"/>
          <w:sz w:val="20"/>
          <w:szCs w:val="20"/>
          <w:lang w:val="hr-HR"/>
        </w:rPr>
      </w:pPr>
    </w:p>
    <w:p w14:paraId="1057778C" w14:textId="0691F879" w:rsidR="00F95CBB" w:rsidRDefault="00F95CBB" w:rsidP="00D84178">
      <w:pPr>
        <w:pStyle w:val="Tekst"/>
        <w:spacing w:line="276" w:lineRule="auto"/>
        <w:rPr>
          <w:rFonts w:ascii="Verdana" w:eastAsiaTheme="minorHAnsi" w:hAnsi="Verdana" w:cstheme="minorHAnsi"/>
          <w:sz w:val="20"/>
          <w:szCs w:val="20"/>
          <w:lang w:val="hr-HR"/>
        </w:rPr>
      </w:pPr>
    </w:p>
    <w:p w14:paraId="28F5FFCB" w14:textId="0062CD51" w:rsidR="00F95CBB" w:rsidRDefault="00F95CBB" w:rsidP="00D84178">
      <w:pPr>
        <w:pStyle w:val="Tekst"/>
        <w:spacing w:line="276" w:lineRule="auto"/>
        <w:rPr>
          <w:rFonts w:ascii="Verdana" w:eastAsiaTheme="minorHAnsi" w:hAnsi="Verdana" w:cstheme="minorHAnsi"/>
          <w:sz w:val="20"/>
          <w:szCs w:val="20"/>
          <w:lang w:val="hr-HR"/>
        </w:rPr>
      </w:pPr>
    </w:p>
    <w:p w14:paraId="696B433D" w14:textId="52FF5872" w:rsidR="00F95CBB" w:rsidRDefault="00F95CBB" w:rsidP="00D84178">
      <w:pPr>
        <w:pStyle w:val="Tekst"/>
        <w:spacing w:line="276" w:lineRule="auto"/>
        <w:rPr>
          <w:rFonts w:ascii="Verdana" w:eastAsiaTheme="minorHAnsi" w:hAnsi="Verdana" w:cstheme="minorHAnsi"/>
          <w:sz w:val="20"/>
          <w:szCs w:val="20"/>
          <w:lang w:val="hr-HR"/>
        </w:rPr>
      </w:pPr>
    </w:p>
    <w:p w14:paraId="28F0FB1C" w14:textId="3FDE3804" w:rsidR="00F95CBB" w:rsidRDefault="00F95CBB" w:rsidP="00D84178">
      <w:pPr>
        <w:pStyle w:val="Tekst"/>
        <w:spacing w:line="276" w:lineRule="auto"/>
        <w:rPr>
          <w:rFonts w:ascii="Verdana" w:eastAsiaTheme="minorHAnsi" w:hAnsi="Verdana" w:cstheme="minorHAnsi"/>
          <w:sz w:val="20"/>
          <w:szCs w:val="20"/>
          <w:lang w:val="hr-HR"/>
        </w:rPr>
      </w:pPr>
    </w:p>
    <w:p w14:paraId="4B17B8EF" w14:textId="681E8D9A" w:rsidR="00F95CBB" w:rsidRDefault="00F95CBB" w:rsidP="00D84178">
      <w:pPr>
        <w:pStyle w:val="Tekst"/>
        <w:spacing w:line="276" w:lineRule="auto"/>
        <w:rPr>
          <w:rFonts w:ascii="Verdana" w:eastAsiaTheme="minorHAnsi" w:hAnsi="Verdana" w:cstheme="minorHAnsi"/>
          <w:sz w:val="20"/>
          <w:szCs w:val="20"/>
          <w:lang w:val="hr-HR"/>
        </w:rPr>
      </w:pPr>
    </w:p>
    <w:p w14:paraId="772B328C" w14:textId="4F3F0A63" w:rsidR="00F95CBB" w:rsidRDefault="00F95CBB" w:rsidP="00D84178">
      <w:pPr>
        <w:pStyle w:val="Tekst"/>
        <w:spacing w:line="276" w:lineRule="auto"/>
        <w:rPr>
          <w:rFonts w:ascii="Verdana" w:eastAsiaTheme="minorHAnsi" w:hAnsi="Verdana" w:cstheme="minorHAnsi"/>
          <w:sz w:val="20"/>
          <w:szCs w:val="20"/>
          <w:lang w:val="hr-HR"/>
        </w:rPr>
      </w:pPr>
    </w:p>
    <w:p w14:paraId="407E5699" w14:textId="49CD153B" w:rsidR="00F95CBB" w:rsidRDefault="00F95CBB" w:rsidP="00D84178">
      <w:pPr>
        <w:pStyle w:val="Tekst"/>
        <w:spacing w:line="276" w:lineRule="auto"/>
        <w:rPr>
          <w:rFonts w:ascii="Verdana" w:eastAsiaTheme="minorHAnsi" w:hAnsi="Verdana" w:cstheme="minorHAnsi"/>
          <w:sz w:val="20"/>
          <w:szCs w:val="20"/>
          <w:lang w:val="hr-HR"/>
        </w:rPr>
      </w:pPr>
    </w:p>
    <w:p w14:paraId="5BB4569E" w14:textId="306BD19A" w:rsidR="00F95CBB" w:rsidRDefault="00F95CBB" w:rsidP="00D84178">
      <w:pPr>
        <w:pStyle w:val="Tekst"/>
        <w:spacing w:line="276" w:lineRule="auto"/>
        <w:rPr>
          <w:rFonts w:ascii="Verdana" w:eastAsiaTheme="minorHAnsi" w:hAnsi="Verdana" w:cstheme="minorHAnsi"/>
          <w:sz w:val="20"/>
          <w:szCs w:val="20"/>
          <w:lang w:val="hr-HR"/>
        </w:rPr>
      </w:pPr>
    </w:p>
    <w:p w14:paraId="3354D17F" w14:textId="57F5B2BA" w:rsidR="00F95CBB" w:rsidRDefault="00F95CBB" w:rsidP="00D84178">
      <w:pPr>
        <w:pStyle w:val="Tekst"/>
        <w:spacing w:line="276" w:lineRule="auto"/>
        <w:rPr>
          <w:rFonts w:ascii="Verdana" w:eastAsiaTheme="minorHAnsi" w:hAnsi="Verdana" w:cstheme="minorHAnsi"/>
          <w:sz w:val="20"/>
          <w:szCs w:val="20"/>
          <w:lang w:val="hr-HR"/>
        </w:rPr>
      </w:pPr>
    </w:p>
    <w:p w14:paraId="07D66F40" w14:textId="77777777" w:rsidR="00F95CBB" w:rsidRDefault="00F95CBB" w:rsidP="00D84178">
      <w:pPr>
        <w:pStyle w:val="Tekst"/>
        <w:spacing w:line="276" w:lineRule="auto"/>
        <w:rPr>
          <w:rFonts w:ascii="Verdana" w:eastAsiaTheme="minorHAnsi" w:hAnsi="Verdana" w:cstheme="minorHAnsi"/>
          <w:sz w:val="20"/>
          <w:szCs w:val="20"/>
          <w:lang w:val="hr-HR"/>
        </w:rPr>
      </w:pPr>
    </w:p>
    <w:p w14:paraId="31D3AF8C" w14:textId="77777777" w:rsidR="00D84178" w:rsidRPr="00BD41C1" w:rsidRDefault="00D84178" w:rsidP="00D84178">
      <w:pPr>
        <w:pStyle w:val="Tekst"/>
        <w:spacing w:line="276" w:lineRule="auto"/>
        <w:rPr>
          <w:rFonts w:ascii="Verdana" w:eastAsiaTheme="minorHAnsi" w:hAnsi="Verdana" w:cstheme="minorHAnsi"/>
          <w:sz w:val="20"/>
          <w:szCs w:val="20"/>
          <w:lang w:val="hr-HR"/>
        </w:rPr>
      </w:pPr>
    </w:p>
    <w:p w14:paraId="040880E5" w14:textId="77777777" w:rsidR="00AB4307" w:rsidRPr="00921582" w:rsidRDefault="00FD35C6" w:rsidP="00D84178">
      <w:pPr>
        <w:pStyle w:val="Heading1"/>
        <w:spacing w:line="276" w:lineRule="auto"/>
      </w:pPr>
      <w:bookmarkStart w:id="15" w:name="_Toc229748340"/>
      <w:r w:rsidRPr="00921582">
        <w:lastRenderedPageBreak/>
        <w:t xml:space="preserve">III </w:t>
      </w:r>
      <w:r w:rsidR="00AB4307" w:rsidRPr="00921582">
        <w:t xml:space="preserve">Nalazi i </w:t>
      </w:r>
      <w:r w:rsidR="00E55BD0" w:rsidRPr="00921582">
        <w:t>preporuke</w:t>
      </w:r>
      <w:bookmarkEnd w:id="15"/>
      <w:r w:rsidR="00AB4307" w:rsidRPr="00921582">
        <w:t xml:space="preserve"> </w:t>
      </w:r>
    </w:p>
    <w:p w14:paraId="5545887D" w14:textId="77777777" w:rsidR="00B34427" w:rsidRPr="00764718" w:rsidRDefault="00B34427" w:rsidP="00D84178">
      <w:pPr>
        <w:spacing w:line="276" w:lineRule="auto"/>
        <w:rPr>
          <w:rFonts w:ascii="Gill Sans MT" w:hAnsi="Gill Sans MT" w:cstheme="minorHAnsi"/>
        </w:rPr>
      </w:pPr>
    </w:p>
    <w:p w14:paraId="6791FF32" w14:textId="77777777" w:rsidR="003F7EDC" w:rsidRPr="00BE464E" w:rsidRDefault="003F7EDC" w:rsidP="00D84178">
      <w:pPr>
        <w:spacing w:line="276" w:lineRule="auto"/>
        <w:jc w:val="both"/>
        <w:rPr>
          <w:rFonts w:ascii="Verdana" w:hAnsi="Verdana" w:cstheme="minorHAnsi"/>
          <w:sz w:val="20"/>
          <w:szCs w:val="20"/>
          <w:lang w:val="hr-HR"/>
        </w:rPr>
      </w:pPr>
      <w:r w:rsidRPr="00BE464E">
        <w:rPr>
          <w:rFonts w:ascii="Verdana" w:hAnsi="Verdana" w:cstheme="minorHAnsi"/>
          <w:sz w:val="20"/>
          <w:szCs w:val="20"/>
          <w:lang w:val="hr-HR"/>
        </w:rPr>
        <w:t xml:space="preserve">Uzimajući u obzir podatke za posmatrani period 2025. godine, koje su dostavile 102 pravosudne institucije u okviru Analize evidencija za provedbu Instrumenata za praćenje primjene Smjernica </w:t>
      </w:r>
      <w:r w:rsidR="00BE464E" w:rsidRPr="00BE464E">
        <w:rPr>
          <w:rFonts w:ascii="Verdana" w:hAnsi="Verdana" w:cstheme="minorHAnsi"/>
          <w:sz w:val="20"/>
          <w:szCs w:val="20"/>
          <w:lang w:val="hr-HR"/>
        </w:rPr>
        <w:t>za sprečavanje sukoba interesa</w:t>
      </w:r>
      <w:r w:rsidRPr="00BE464E">
        <w:rPr>
          <w:rFonts w:ascii="Verdana" w:hAnsi="Verdana" w:cstheme="minorHAnsi"/>
          <w:sz w:val="20"/>
          <w:szCs w:val="20"/>
          <w:lang w:val="hr-HR"/>
        </w:rPr>
        <w:t>, može se zaključiti da su sve pravosudne institucije dostavile tražene evidencije.</w:t>
      </w:r>
    </w:p>
    <w:p w14:paraId="66F80E8F" w14:textId="77777777" w:rsidR="003F7EDC" w:rsidRPr="00BE464E" w:rsidRDefault="003F7EDC" w:rsidP="00D84178">
      <w:pPr>
        <w:pStyle w:val="NormalWeb"/>
        <w:spacing w:line="276" w:lineRule="auto"/>
        <w:jc w:val="both"/>
        <w:rPr>
          <w:rFonts w:ascii="Verdana" w:eastAsiaTheme="minorHAnsi" w:hAnsi="Verdana" w:cstheme="minorHAnsi"/>
          <w:sz w:val="20"/>
          <w:szCs w:val="20"/>
          <w:lang w:val="hr-HR" w:eastAsia="en-US"/>
        </w:rPr>
      </w:pPr>
      <w:r w:rsidRPr="00BE464E">
        <w:rPr>
          <w:rFonts w:ascii="Verdana" w:eastAsiaTheme="minorHAnsi" w:hAnsi="Verdana" w:cstheme="minorHAnsi"/>
          <w:sz w:val="20"/>
          <w:szCs w:val="20"/>
          <w:lang w:val="hr-HR" w:eastAsia="en-US"/>
        </w:rPr>
        <w:t>Dostavljene evidencije omogućavaju izračun pojedinih indikatora za institucije koje vode i dostavljaju propisane podatke. Evidencije CEST-ova omogućavaju izračunavanje indikatora koji se odnose na obuke iz oblasti pravosudne etike i sukoba interesa, dok evidencije UDT-a i Odjela omogućavaju praćenje i analizu indikatora vezanih za disciplinske prijave i disciplinske mjere.</w:t>
      </w:r>
    </w:p>
    <w:p w14:paraId="55536548" w14:textId="77777777" w:rsidR="003F7EDC" w:rsidRPr="00BE464E" w:rsidRDefault="003F7EDC" w:rsidP="00D84178">
      <w:pPr>
        <w:pStyle w:val="NormalWeb"/>
        <w:spacing w:line="276" w:lineRule="auto"/>
        <w:jc w:val="both"/>
        <w:rPr>
          <w:rFonts w:ascii="Verdana" w:eastAsiaTheme="minorHAnsi" w:hAnsi="Verdana" w:cstheme="minorHAnsi"/>
          <w:sz w:val="20"/>
          <w:szCs w:val="20"/>
          <w:lang w:val="hr-HR" w:eastAsia="en-US"/>
        </w:rPr>
      </w:pPr>
      <w:r w:rsidRPr="00BE464E">
        <w:rPr>
          <w:rFonts w:ascii="Verdana" w:eastAsiaTheme="minorHAnsi" w:hAnsi="Verdana" w:cstheme="minorHAnsi"/>
          <w:sz w:val="20"/>
          <w:szCs w:val="20"/>
          <w:lang w:val="hr-HR" w:eastAsia="en-US"/>
        </w:rPr>
        <w:t>Pravosudne institucije, kao i druge nadležne institucije uključene u provođenje Instrumenata za praćenje primjene Smjernica za sprečavanje sukoba interesa, dužne su da evidencije vode uredno, tačno, potpuno i ažurno. Rukovodioci institucija odgovorni su za kontrol</w:t>
      </w:r>
      <w:r w:rsidR="00BE464E" w:rsidRPr="00BE464E">
        <w:rPr>
          <w:rFonts w:ascii="Verdana" w:eastAsiaTheme="minorHAnsi" w:hAnsi="Verdana" w:cstheme="minorHAnsi"/>
          <w:sz w:val="20"/>
          <w:szCs w:val="20"/>
          <w:lang w:val="hr-HR" w:eastAsia="en-US"/>
        </w:rPr>
        <w:t>u</w:t>
      </w:r>
      <w:r w:rsidRPr="00BE464E">
        <w:rPr>
          <w:rFonts w:ascii="Verdana" w:eastAsiaTheme="minorHAnsi" w:hAnsi="Verdana" w:cstheme="minorHAnsi"/>
          <w:sz w:val="20"/>
          <w:szCs w:val="20"/>
          <w:lang w:val="hr-HR" w:eastAsia="en-US"/>
        </w:rPr>
        <w:t xml:space="preserve"> i nadzor nad tačnošću i potpunosti dostavljenih evidencija, kao i za pravovremeno dostavljanje podataka nadležnim </w:t>
      </w:r>
      <w:r w:rsidR="00BE464E">
        <w:rPr>
          <w:rFonts w:ascii="Verdana" w:eastAsiaTheme="minorHAnsi" w:hAnsi="Verdana" w:cstheme="minorHAnsi"/>
          <w:sz w:val="20"/>
          <w:szCs w:val="20"/>
          <w:lang w:val="hr-HR" w:eastAsia="en-US"/>
        </w:rPr>
        <w:t>VSTV-u BiH</w:t>
      </w:r>
      <w:r w:rsidRPr="00BE464E">
        <w:rPr>
          <w:rFonts w:ascii="Verdana" w:eastAsiaTheme="minorHAnsi" w:hAnsi="Verdana" w:cstheme="minorHAnsi"/>
          <w:sz w:val="20"/>
          <w:szCs w:val="20"/>
          <w:lang w:val="hr-HR" w:eastAsia="en-US"/>
        </w:rPr>
        <w:t>.</w:t>
      </w:r>
    </w:p>
    <w:p w14:paraId="7B61531E" w14:textId="718DBED9" w:rsidR="003F7EDC" w:rsidRPr="00BE464E" w:rsidRDefault="003F7EDC" w:rsidP="00D84178">
      <w:pPr>
        <w:pStyle w:val="NormalWeb"/>
        <w:spacing w:line="276" w:lineRule="auto"/>
        <w:jc w:val="both"/>
        <w:rPr>
          <w:rFonts w:ascii="Verdana" w:eastAsiaTheme="minorHAnsi" w:hAnsi="Verdana" w:cstheme="minorHAnsi"/>
          <w:sz w:val="20"/>
          <w:szCs w:val="20"/>
          <w:lang w:val="hr-HR" w:eastAsia="en-US"/>
        </w:rPr>
      </w:pPr>
      <w:r w:rsidRPr="00BE464E">
        <w:rPr>
          <w:rFonts w:ascii="Verdana" w:eastAsiaTheme="minorHAnsi" w:hAnsi="Verdana" w:cstheme="minorHAnsi"/>
          <w:sz w:val="20"/>
          <w:szCs w:val="20"/>
          <w:lang w:val="hr-HR" w:eastAsia="en-US"/>
        </w:rPr>
        <w:t xml:space="preserve">Odjel će, </w:t>
      </w:r>
      <w:r w:rsidR="00BE464E" w:rsidRPr="00BE464E">
        <w:rPr>
          <w:rFonts w:ascii="Verdana" w:eastAsiaTheme="minorHAnsi" w:hAnsi="Verdana" w:cstheme="minorHAnsi"/>
          <w:sz w:val="20"/>
          <w:szCs w:val="20"/>
          <w:lang w:val="hr-HR" w:eastAsia="en-US"/>
        </w:rPr>
        <w:t xml:space="preserve">ukoliko dođe do saznanja o eventualnim netačnostima dostavljenih podataka i provjerama potvrdi netačnost, u zavisnosti od relevantnosti utvrđenih činjenica, </w:t>
      </w:r>
      <w:r w:rsidR="00764E3F" w:rsidRPr="00764E3F">
        <w:rPr>
          <w:rFonts w:ascii="Verdana" w:eastAsiaTheme="minorHAnsi" w:hAnsi="Verdana" w:cstheme="minorHAnsi"/>
          <w:sz w:val="20"/>
          <w:szCs w:val="20"/>
          <w:lang w:val="hr-HR" w:eastAsia="en-US"/>
        </w:rPr>
        <w:t>kao i u slučajevima u kojim se ne dostave traženi podaci u skladu sa odred</w:t>
      </w:r>
      <w:r w:rsidR="00764E3F">
        <w:rPr>
          <w:rFonts w:ascii="Verdana" w:eastAsiaTheme="minorHAnsi" w:hAnsi="Verdana" w:cstheme="minorHAnsi"/>
          <w:sz w:val="20"/>
          <w:szCs w:val="20"/>
          <w:lang w:val="hr-HR" w:eastAsia="en-US"/>
        </w:rPr>
        <w:t>bama čl. 83. i 85. Zakona o VSTV</w:t>
      </w:r>
      <w:r w:rsidR="00764E3F" w:rsidRPr="00764E3F">
        <w:rPr>
          <w:rFonts w:ascii="Verdana" w:eastAsiaTheme="minorHAnsi" w:hAnsi="Verdana" w:cstheme="minorHAnsi"/>
          <w:sz w:val="20"/>
          <w:szCs w:val="20"/>
          <w:lang w:val="hr-HR" w:eastAsia="en-US"/>
        </w:rPr>
        <w:t xml:space="preserve">-u BiH, </w:t>
      </w:r>
      <w:r w:rsidR="00BE464E" w:rsidRPr="00BE464E">
        <w:rPr>
          <w:rFonts w:ascii="Verdana" w:eastAsiaTheme="minorHAnsi" w:hAnsi="Verdana" w:cstheme="minorHAnsi"/>
          <w:sz w:val="20"/>
          <w:szCs w:val="20"/>
          <w:lang w:val="hr-HR" w:eastAsia="en-US"/>
        </w:rPr>
        <w:t>informisati Ured disciplinskog tužioca i/ili organizacione jedinice Sekretarijata VSTV-a BiH, dok će informacije o utvrđenim netačnostima biti dostavljene Stalnoj komisiji za etiku, integritet i odgovornost sudija i tužilaca radi informisanja.</w:t>
      </w:r>
    </w:p>
    <w:p w14:paraId="5FBEAF8A" w14:textId="77777777" w:rsidR="003F7EDC" w:rsidRPr="00BE464E" w:rsidRDefault="003F7EDC" w:rsidP="00D84178">
      <w:pPr>
        <w:pStyle w:val="NormalWeb"/>
        <w:spacing w:line="276" w:lineRule="auto"/>
        <w:jc w:val="both"/>
        <w:rPr>
          <w:rFonts w:ascii="Verdana" w:eastAsiaTheme="minorHAnsi" w:hAnsi="Verdana" w:cstheme="minorHAnsi"/>
          <w:sz w:val="20"/>
          <w:szCs w:val="20"/>
          <w:lang w:val="hr-HR" w:eastAsia="en-US"/>
        </w:rPr>
      </w:pPr>
      <w:r w:rsidRPr="00BE464E">
        <w:rPr>
          <w:rFonts w:ascii="Verdana" w:eastAsiaTheme="minorHAnsi" w:hAnsi="Verdana" w:cstheme="minorHAnsi"/>
          <w:sz w:val="20"/>
          <w:szCs w:val="20"/>
          <w:lang w:val="hr-HR" w:eastAsia="en-US"/>
        </w:rPr>
        <w:t>Radi dosljedne obrade podataka, pravilne primjene Smjernica za sprečavanje sukoba interesa u pravosuđu, kao i unapređenja kvaliteta evidencija i njihovog vođenja, daju se sljedeće preporuke:</w:t>
      </w:r>
    </w:p>
    <w:p w14:paraId="316134E6" w14:textId="77777777" w:rsidR="003F7EDC" w:rsidRPr="00BE464E" w:rsidRDefault="003F7EDC" w:rsidP="00D84178">
      <w:pPr>
        <w:numPr>
          <w:ilvl w:val="0"/>
          <w:numId w:val="32"/>
        </w:numPr>
        <w:spacing w:before="100" w:beforeAutospacing="1" w:after="100" w:afterAutospacing="1" w:line="276" w:lineRule="auto"/>
        <w:jc w:val="both"/>
        <w:rPr>
          <w:rFonts w:ascii="Verdana" w:hAnsi="Verdana" w:cstheme="minorHAnsi"/>
          <w:sz w:val="20"/>
          <w:szCs w:val="20"/>
          <w:lang w:val="hr-HR"/>
        </w:rPr>
      </w:pPr>
      <w:r w:rsidRPr="00BE464E">
        <w:rPr>
          <w:rFonts w:ascii="Verdana" w:hAnsi="Verdana" w:cstheme="minorHAnsi"/>
          <w:sz w:val="20"/>
          <w:szCs w:val="20"/>
          <w:lang w:val="hr-HR"/>
        </w:rPr>
        <w:t xml:space="preserve">osigurati praćenje potencijalnog i stvarnog sukoba interesa kroz evidencije. </w:t>
      </w:r>
      <w:r w:rsidR="00BE464E" w:rsidRPr="00BE464E">
        <w:rPr>
          <w:rFonts w:ascii="Verdana" w:hAnsi="Verdana" w:cstheme="minorHAnsi"/>
          <w:sz w:val="20"/>
          <w:szCs w:val="20"/>
          <w:lang w:val="hr-HR"/>
        </w:rPr>
        <w:t>Ovo podrazumijeva</w:t>
      </w:r>
      <w:r w:rsidRPr="00BE464E">
        <w:rPr>
          <w:rFonts w:ascii="Verdana" w:hAnsi="Verdana" w:cstheme="minorHAnsi"/>
          <w:sz w:val="20"/>
          <w:szCs w:val="20"/>
          <w:lang w:val="hr-HR"/>
        </w:rPr>
        <w:t xml:space="preserve"> situacije kada postupanje NPF u predmetima može izazvati sumnju kod objektivnog posmatrača u sukob interesa. Preporučuje se da pravosudne institucije dostavljaju podatke o broju predmeta u kojima nije podnesen zahtjev za izuzeće, ali je zbog postojanja okolnosti poznatih NPF ili rukovodiocu institucije izvršena presignacija predmeta drugom sudiji ili je predmet proslijeđen drugoj instituciji. Ovakve situacije trebale bi se razmatrati na kolegijima, a doneseni zaključci evidentirati u CMS sistemu prilikom presignacije predmeta; </w:t>
      </w:r>
    </w:p>
    <w:p w14:paraId="79372761" w14:textId="77777777" w:rsidR="003F7EDC" w:rsidRPr="00BE464E" w:rsidRDefault="003F7EDC" w:rsidP="00D84178">
      <w:pPr>
        <w:numPr>
          <w:ilvl w:val="0"/>
          <w:numId w:val="32"/>
        </w:numPr>
        <w:spacing w:before="100" w:beforeAutospacing="1" w:after="100" w:afterAutospacing="1" w:line="276" w:lineRule="auto"/>
        <w:jc w:val="both"/>
        <w:rPr>
          <w:rFonts w:ascii="Verdana" w:hAnsi="Verdana" w:cstheme="minorHAnsi"/>
          <w:sz w:val="20"/>
          <w:szCs w:val="20"/>
          <w:lang w:val="hr-HR"/>
        </w:rPr>
      </w:pPr>
      <w:r w:rsidRPr="00BE464E">
        <w:rPr>
          <w:rFonts w:ascii="Verdana" w:hAnsi="Verdana" w:cstheme="minorHAnsi"/>
          <w:sz w:val="20"/>
          <w:szCs w:val="20"/>
          <w:lang w:val="hr-HR"/>
        </w:rPr>
        <w:t xml:space="preserve">osigurati kontinuiranu edukaciju NPF o Smjernicama za sprečavanje sukoba interesa u pravosuđu, s posebnim naglaskom na dodatne aktivnosti, prihvatanje poklona i drugih koristi, ex parte komunikaciju, javne istupe i sukob interesa; </w:t>
      </w:r>
    </w:p>
    <w:p w14:paraId="53EEAD8C" w14:textId="491D5EDF" w:rsidR="003F7EDC" w:rsidRPr="003125DF" w:rsidRDefault="003F7EDC" w:rsidP="00D84178">
      <w:pPr>
        <w:numPr>
          <w:ilvl w:val="0"/>
          <w:numId w:val="32"/>
        </w:numPr>
        <w:spacing w:before="100" w:beforeAutospacing="1" w:after="100" w:afterAutospacing="1" w:line="276" w:lineRule="auto"/>
        <w:jc w:val="both"/>
        <w:rPr>
          <w:rFonts w:ascii="Verdana" w:hAnsi="Verdana" w:cstheme="minorHAnsi"/>
          <w:sz w:val="20"/>
          <w:szCs w:val="20"/>
          <w:lang w:val="hr-HR"/>
        </w:rPr>
      </w:pPr>
      <w:r w:rsidRPr="003125DF">
        <w:rPr>
          <w:rFonts w:ascii="Verdana" w:hAnsi="Verdana" w:cstheme="minorHAnsi"/>
          <w:sz w:val="20"/>
          <w:szCs w:val="20"/>
          <w:lang w:val="hr-HR"/>
        </w:rPr>
        <w:t>osigurati edukaciju i kontinuirano informisanje rukovodilaca pravosudnih institucija, kao i rukovodilaca drugih nadležnih institucija (CEST-ovi, UDT), o obavezama koje proizlaze iz Smjernica za sprečavanje sukoba interesa u pravosuđu, korištenju Instrumenata za praćenje primjene Smjernica i relevantnim zaključcima VSTV-a BiH</w:t>
      </w:r>
      <w:r w:rsidR="003A3A4E">
        <w:rPr>
          <w:rFonts w:ascii="Verdana" w:hAnsi="Verdana" w:cstheme="minorHAnsi"/>
          <w:sz w:val="20"/>
          <w:szCs w:val="20"/>
          <w:lang w:val="hr-HR"/>
        </w:rPr>
        <w:t xml:space="preserve"> i</w:t>
      </w:r>
      <w:r w:rsidRPr="003125DF">
        <w:rPr>
          <w:rFonts w:ascii="Verdana" w:hAnsi="Verdana" w:cstheme="minorHAnsi"/>
          <w:sz w:val="20"/>
          <w:szCs w:val="20"/>
          <w:lang w:val="hr-HR"/>
        </w:rPr>
        <w:t xml:space="preserve"> </w:t>
      </w:r>
    </w:p>
    <w:p w14:paraId="0684B0B3" w14:textId="62AF34C2" w:rsidR="003F7EDC" w:rsidRPr="003125DF" w:rsidRDefault="003F7EDC" w:rsidP="00D84178">
      <w:pPr>
        <w:numPr>
          <w:ilvl w:val="0"/>
          <w:numId w:val="32"/>
        </w:numPr>
        <w:spacing w:before="100" w:beforeAutospacing="1" w:after="100" w:afterAutospacing="1" w:line="276" w:lineRule="auto"/>
        <w:jc w:val="both"/>
        <w:rPr>
          <w:rFonts w:ascii="Verdana" w:hAnsi="Verdana" w:cstheme="minorHAnsi"/>
          <w:sz w:val="20"/>
          <w:szCs w:val="20"/>
          <w:lang w:val="hr-HR"/>
        </w:rPr>
      </w:pPr>
      <w:r w:rsidRPr="003125DF">
        <w:rPr>
          <w:rFonts w:ascii="Verdana" w:hAnsi="Verdana" w:cstheme="minorHAnsi"/>
          <w:sz w:val="20"/>
          <w:szCs w:val="20"/>
          <w:lang w:val="hr-HR"/>
        </w:rPr>
        <w:lastRenderedPageBreak/>
        <w:t>organizovati edukaciju za osobe zadužene za vođenje i dostavljanje evidencija radi osiguranja tačnog, potpunog i dosljednog unosa podataka, te smanjenja rizika od pogrešnog unosa i narušavanja pouzdanosti evidencija</w:t>
      </w:r>
      <w:r w:rsidR="003A3A4E">
        <w:rPr>
          <w:rFonts w:ascii="Verdana" w:hAnsi="Verdana" w:cstheme="minorHAnsi"/>
          <w:sz w:val="20"/>
          <w:szCs w:val="20"/>
          <w:lang w:val="hr-HR"/>
        </w:rPr>
        <w:t>.</w:t>
      </w:r>
      <w:r w:rsidRPr="003125DF">
        <w:rPr>
          <w:rFonts w:ascii="Verdana" w:hAnsi="Verdana" w:cstheme="minorHAnsi"/>
          <w:sz w:val="20"/>
          <w:szCs w:val="20"/>
          <w:lang w:val="hr-HR"/>
        </w:rPr>
        <w:t xml:space="preserve"> </w:t>
      </w:r>
    </w:p>
    <w:sectPr w:rsidR="003F7EDC" w:rsidRPr="003125DF" w:rsidSect="00EE7C5A">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D61A30" w16cex:dateUtc="2024-04-26T10:18:00Z"/>
  <w16cex:commentExtensible w16cex:durableId="29D61BD4" w16cex:dateUtc="2024-04-26T10:25:00Z"/>
  <w16cex:commentExtensible w16cex:durableId="29D6536F" w16cex:dateUtc="2024-04-26T14:23:00Z"/>
  <w16cex:commentExtensible w16cex:durableId="29D64FDC" w16cex:dateUtc="2024-04-26T14:07:00Z"/>
  <w16cex:commentExtensible w16cex:durableId="29D62301" w16cex:dateUtc="2024-04-26T10:56:00Z"/>
  <w16cex:commentExtensible w16cex:durableId="29D654E7" w16cex:dateUtc="2024-04-26T14:29:00Z"/>
  <w16cex:commentExtensible w16cex:durableId="29D6234C" w16cex:dateUtc="2024-04-26T10:57:00Z"/>
  <w16cex:commentExtensible w16cex:durableId="29D65065" w16cex:dateUtc="2024-04-26T14:10:00Z"/>
  <w16cex:commentExtensible w16cex:durableId="29D6507C" w16cex:dateUtc="2024-04-26T14:10:00Z"/>
  <w16cex:commentExtensible w16cex:durableId="29D65130" w16cex:dateUtc="2024-04-26T14:13:00Z"/>
  <w16cex:commentExtensible w16cex:durableId="29D65141" w16cex:dateUtc="2024-04-26T14:13:00Z"/>
  <w16cex:commentExtensible w16cex:durableId="29D65591" w16cex:dateUtc="2024-04-26T14:32:00Z"/>
  <w16cex:commentExtensible w16cex:durableId="29D65596" w16cex:dateUtc="2024-04-26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9A6108" w16cid:durableId="29D61A30"/>
  <w16cid:commentId w16cid:paraId="264BECF0" w16cid:durableId="29D61BD4"/>
  <w16cid:commentId w16cid:paraId="650E504B" w16cid:durableId="29D6536F"/>
  <w16cid:commentId w16cid:paraId="495AB93A" w16cid:durableId="29D64FDC"/>
  <w16cid:commentId w16cid:paraId="7071AA1F" w16cid:durableId="29D62301"/>
  <w16cid:commentId w16cid:paraId="06E9ADC7" w16cid:durableId="29D654E7"/>
  <w16cid:commentId w16cid:paraId="2B904AA2" w16cid:durableId="29D6234C"/>
  <w16cid:commentId w16cid:paraId="6C231746" w16cid:durableId="29D65065"/>
  <w16cid:commentId w16cid:paraId="3BEC0C7E" w16cid:durableId="29D6507C"/>
  <w16cid:commentId w16cid:paraId="01DF920F" w16cid:durableId="29D65130"/>
  <w16cid:commentId w16cid:paraId="0F5C9982" w16cid:durableId="29D65141"/>
  <w16cid:commentId w16cid:paraId="31583F59" w16cid:durableId="29D61869"/>
  <w16cid:commentId w16cid:paraId="575D5210" w16cid:durableId="29D6186A"/>
  <w16cid:commentId w16cid:paraId="65203173" w16cid:durableId="29D65591"/>
  <w16cid:commentId w16cid:paraId="0CB1D2F5" w16cid:durableId="29D6559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A9A53" w14:textId="77777777" w:rsidR="00766969" w:rsidRDefault="00766969" w:rsidP="00FD35C6">
      <w:r>
        <w:separator/>
      </w:r>
    </w:p>
  </w:endnote>
  <w:endnote w:type="continuationSeparator" w:id="0">
    <w:p w14:paraId="1C81B06F" w14:textId="77777777" w:rsidR="00766969" w:rsidRDefault="00766969" w:rsidP="00FD3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15191012"/>
      <w:docPartObj>
        <w:docPartGallery w:val="Page Numbers (Bottom of Page)"/>
        <w:docPartUnique/>
      </w:docPartObj>
    </w:sdtPr>
    <w:sdtEndPr>
      <w:rPr>
        <w:rStyle w:val="PageNumber"/>
      </w:rPr>
    </w:sdtEndPr>
    <w:sdtContent>
      <w:p w14:paraId="3C59C974" w14:textId="77777777" w:rsidR="00CE3504" w:rsidRDefault="00CE3504" w:rsidP="00782D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5B92476C" w14:textId="77777777" w:rsidR="00CE3504" w:rsidRDefault="00CE3504" w:rsidP="004220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0432492"/>
      <w:docPartObj>
        <w:docPartGallery w:val="Page Numbers (Bottom of Page)"/>
        <w:docPartUnique/>
      </w:docPartObj>
    </w:sdtPr>
    <w:sdtEndPr>
      <w:rPr>
        <w:noProof/>
      </w:rPr>
    </w:sdtEndPr>
    <w:sdtContent>
      <w:p w14:paraId="1FCA399E" w14:textId="33B01B30" w:rsidR="00F95CBB" w:rsidRDefault="00F95CBB">
        <w:pPr>
          <w:pStyle w:val="Footer"/>
          <w:jc w:val="right"/>
        </w:pPr>
        <w:r>
          <w:fldChar w:fldCharType="begin"/>
        </w:r>
        <w:r>
          <w:instrText xml:space="preserve"> PAGE   \* MERGEFORMAT </w:instrText>
        </w:r>
        <w:r>
          <w:fldChar w:fldCharType="separate"/>
        </w:r>
        <w:r w:rsidR="005419FE">
          <w:rPr>
            <w:noProof/>
          </w:rPr>
          <w:t>1</w:t>
        </w:r>
        <w:r>
          <w:rPr>
            <w:noProof/>
          </w:rPr>
          <w:fldChar w:fldCharType="end"/>
        </w:r>
      </w:p>
    </w:sdtContent>
  </w:sdt>
  <w:p w14:paraId="515089F1" w14:textId="77777777" w:rsidR="00CE3504" w:rsidRDefault="00CE3504" w:rsidP="0042205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E0C89" w14:textId="77777777" w:rsidR="00F95CBB" w:rsidRDefault="00F95C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F6E6D" w14:textId="77777777" w:rsidR="00766969" w:rsidRDefault="00766969" w:rsidP="00FD35C6">
      <w:r>
        <w:separator/>
      </w:r>
    </w:p>
  </w:footnote>
  <w:footnote w:type="continuationSeparator" w:id="0">
    <w:p w14:paraId="09564656" w14:textId="77777777" w:rsidR="00766969" w:rsidRDefault="00766969" w:rsidP="00FD35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A9CF0" w14:textId="1D68F0B4" w:rsidR="00CE3504" w:rsidRPr="005419FE" w:rsidRDefault="005419FE" w:rsidP="005419FE">
    <w:pPr>
      <w:pStyle w:val="Header"/>
      <w:spacing w:after="0"/>
      <w:jc w:val="right"/>
    </w:pPr>
    <w:fldSimple w:instr=" DOCPROPERTY bjHeaderEvenPageDocProperty \* MERGEFORMAT " w:fldLock="1">
      <w:r w:rsidRPr="00A4631D">
        <w:rPr>
          <w:rFonts w:ascii="Arial" w:hAnsi="Arial" w:cs="Arial"/>
          <w:b/>
          <w:bCs/>
          <w:color w:val="000000"/>
          <w:sz w:val="22"/>
        </w:rPr>
        <w:t>JAVNO</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EB0CC" w14:textId="1359CE5C" w:rsidR="00CE3504" w:rsidRPr="005419FE" w:rsidRDefault="005419FE" w:rsidP="005419FE">
    <w:pPr>
      <w:pStyle w:val="Header"/>
      <w:spacing w:after="0"/>
      <w:jc w:val="right"/>
    </w:pPr>
    <w:fldSimple w:instr=" DOCPROPERTY bjHeaderBothDocProperty \* MERGEFORMAT " w:fldLock="1">
      <w:r w:rsidRPr="00A4631D">
        <w:rPr>
          <w:rFonts w:ascii="Arial" w:hAnsi="Arial" w:cs="Arial"/>
          <w:b/>
          <w:bCs/>
          <w:color w:val="000000"/>
          <w:sz w:val="22"/>
        </w:rPr>
        <w:t>JAVNO</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EEB54" w14:textId="5E663266" w:rsidR="00CE3504" w:rsidRPr="005419FE" w:rsidRDefault="005419FE" w:rsidP="005419FE">
    <w:pPr>
      <w:pStyle w:val="Header"/>
      <w:spacing w:after="0"/>
      <w:jc w:val="right"/>
    </w:pPr>
    <w:fldSimple w:instr=" DOCPROPERTY bjHeaderFirstPageDocProperty \* MERGEFORMAT " w:fldLock="1">
      <w:r w:rsidRPr="00A4631D">
        <w:rPr>
          <w:rFonts w:ascii="Arial" w:hAnsi="Arial" w:cs="Arial"/>
          <w:b/>
          <w:bCs/>
          <w:color w:val="000000"/>
          <w:sz w:val="22"/>
        </w:rPr>
        <w:t>JAVNO</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93885"/>
    <w:multiLevelType w:val="hybridMultilevel"/>
    <w:tmpl w:val="FECEEF96"/>
    <w:lvl w:ilvl="0" w:tplc="9F1C87FC">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CCE66FD"/>
    <w:multiLevelType w:val="hybridMultilevel"/>
    <w:tmpl w:val="83DC0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D0680"/>
    <w:multiLevelType w:val="hybridMultilevel"/>
    <w:tmpl w:val="FE2C8C5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881535"/>
    <w:multiLevelType w:val="hybridMultilevel"/>
    <w:tmpl w:val="A9E41A02"/>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944DC"/>
    <w:multiLevelType w:val="hybridMultilevel"/>
    <w:tmpl w:val="DCB4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5F1FBF"/>
    <w:multiLevelType w:val="multilevel"/>
    <w:tmpl w:val="53FC7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3B2A5D"/>
    <w:multiLevelType w:val="multilevel"/>
    <w:tmpl w:val="EACC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686455"/>
    <w:multiLevelType w:val="hybridMultilevel"/>
    <w:tmpl w:val="70CE2E0C"/>
    <w:lvl w:ilvl="0" w:tplc="1C1A000F">
      <w:start w:val="1"/>
      <w:numFmt w:val="decimal"/>
      <w:lvlText w:val="%1."/>
      <w:lvlJc w:val="left"/>
      <w:pPr>
        <w:ind w:left="720" w:hanging="360"/>
      </w:pPr>
      <w:rPr>
        <w:rFonts w:hint="default"/>
      </w:rPr>
    </w:lvl>
    <w:lvl w:ilvl="1" w:tplc="1C1A0019" w:tentative="1">
      <w:start w:val="1"/>
      <w:numFmt w:val="lowerLetter"/>
      <w:lvlText w:val="%2."/>
      <w:lvlJc w:val="left"/>
      <w:pPr>
        <w:ind w:left="1440" w:hanging="360"/>
      </w:pPr>
    </w:lvl>
    <w:lvl w:ilvl="2" w:tplc="1C1A001B" w:tentative="1">
      <w:start w:val="1"/>
      <w:numFmt w:val="lowerRoman"/>
      <w:lvlText w:val="%3."/>
      <w:lvlJc w:val="right"/>
      <w:pPr>
        <w:ind w:left="2160" w:hanging="180"/>
      </w:pPr>
    </w:lvl>
    <w:lvl w:ilvl="3" w:tplc="1C1A000F" w:tentative="1">
      <w:start w:val="1"/>
      <w:numFmt w:val="decimal"/>
      <w:lvlText w:val="%4."/>
      <w:lvlJc w:val="left"/>
      <w:pPr>
        <w:ind w:left="2880" w:hanging="360"/>
      </w:pPr>
    </w:lvl>
    <w:lvl w:ilvl="4" w:tplc="1C1A0019" w:tentative="1">
      <w:start w:val="1"/>
      <w:numFmt w:val="lowerLetter"/>
      <w:lvlText w:val="%5."/>
      <w:lvlJc w:val="left"/>
      <w:pPr>
        <w:ind w:left="3600" w:hanging="360"/>
      </w:pPr>
    </w:lvl>
    <w:lvl w:ilvl="5" w:tplc="1C1A001B" w:tentative="1">
      <w:start w:val="1"/>
      <w:numFmt w:val="lowerRoman"/>
      <w:lvlText w:val="%6."/>
      <w:lvlJc w:val="right"/>
      <w:pPr>
        <w:ind w:left="4320" w:hanging="180"/>
      </w:pPr>
    </w:lvl>
    <w:lvl w:ilvl="6" w:tplc="1C1A000F" w:tentative="1">
      <w:start w:val="1"/>
      <w:numFmt w:val="decimal"/>
      <w:lvlText w:val="%7."/>
      <w:lvlJc w:val="left"/>
      <w:pPr>
        <w:ind w:left="5040" w:hanging="360"/>
      </w:pPr>
    </w:lvl>
    <w:lvl w:ilvl="7" w:tplc="1C1A0019" w:tentative="1">
      <w:start w:val="1"/>
      <w:numFmt w:val="lowerLetter"/>
      <w:lvlText w:val="%8."/>
      <w:lvlJc w:val="left"/>
      <w:pPr>
        <w:ind w:left="5760" w:hanging="360"/>
      </w:pPr>
    </w:lvl>
    <w:lvl w:ilvl="8" w:tplc="1C1A001B" w:tentative="1">
      <w:start w:val="1"/>
      <w:numFmt w:val="lowerRoman"/>
      <w:lvlText w:val="%9."/>
      <w:lvlJc w:val="right"/>
      <w:pPr>
        <w:ind w:left="6480" w:hanging="180"/>
      </w:pPr>
    </w:lvl>
  </w:abstractNum>
  <w:abstractNum w:abstractNumId="8" w15:restartNumberingAfterBreak="0">
    <w:nsid w:val="2D3F0698"/>
    <w:multiLevelType w:val="hybridMultilevel"/>
    <w:tmpl w:val="573E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722FFB"/>
    <w:multiLevelType w:val="hybridMultilevel"/>
    <w:tmpl w:val="5794241A"/>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00737CC"/>
    <w:multiLevelType w:val="multilevel"/>
    <w:tmpl w:val="80F0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29619F"/>
    <w:multiLevelType w:val="hybridMultilevel"/>
    <w:tmpl w:val="D144B526"/>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601506"/>
    <w:multiLevelType w:val="hybridMultilevel"/>
    <w:tmpl w:val="3656D08A"/>
    <w:lvl w:ilvl="0" w:tplc="BD782A8A">
      <w:start w:val="1"/>
      <w:numFmt w:val="bullet"/>
      <w:lvlText w:val="-"/>
      <w:lvlJc w:val="left"/>
      <w:pPr>
        <w:ind w:left="720" w:hanging="360"/>
      </w:pPr>
      <w:rPr>
        <w:rFonts w:ascii="Verdana" w:eastAsiaTheme="minorHAnsi" w:hAnsi="Verdana" w:cstheme="minorHAns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15:restartNumberingAfterBreak="0">
    <w:nsid w:val="33BA1A96"/>
    <w:multiLevelType w:val="hybridMultilevel"/>
    <w:tmpl w:val="5EDA5D3E"/>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C304B0"/>
    <w:multiLevelType w:val="hybridMultilevel"/>
    <w:tmpl w:val="FB72F422"/>
    <w:lvl w:ilvl="0" w:tplc="674E8B5E">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AB30A9"/>
    <w:multiLevelType w:val="hybridMultilevel"/>
    <w:tmpl w:val="00F6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F663CD"/>
    <w:multiLevelType w:val="hybridMultilevel"/>
    <w:tmpl w:val="EAF8BB12"/>
    <w:lvl w:ilvl="0" w:tplc="9F1C87FC">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15:restartNumberingAfterBreak="0">
    <w:nsid w:val="3E78457D"/>
    <w:multiLevelType w:val="multilevel"/>
    <w:tmpl w:val="09460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B86BE8"/>
    <w:multiLevelType w:val="multilevel"/>
    <w:tmpl w:val="E0BA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876485"/>
    <w:multiLevelType w:val="hybridMultilevel"/>
    <w:tmpl w:val="1F324444"/>
    <w:lvl w:ilvl="0" w:tplc="141A000B">
      <w:start w:val="1"/>
      <w:numFmt w:val="bullet"/>
      <w:lvlText w:val=""/>
      <w:lvlJc w:val="left"/>
      <w:pPr>
        <w:ind w:left="360" w:hanging="360"/>
      </w:pPr>
      <w:rPr>
        <w:rFonts w:ascii="Wingdings" w:hAnsi="Wingdings" w:hint="default"/>
      </w:rPr>
    </w:lvl>
    <w:lvl w:ilvl="1" w:tplc="141A0003">
      <w:start w:val="1"/>
      <w:numFmt w:val="bullet"/>
      <w:lvlText w:val="o"/>
      <w:lvlJc w:val="left"/>
      <w:pPr>
        <w:ind w:left="1080" w:hanging="360"/>
      </w:pPr>
      <w:rPr>
        <w:rFonts w:ascii="Courier New" w:hAnsi="Courier New" w:cs="Courier New" w:hint="default"/>
      </w:rPr>
    </w:lvl>
    <w:lvl w:ilvl="2" w:tplc="141A0005">
      <w:start w:val="1"/>
      <w:numFmt w:val="bullet"/>
      <w:lvlText w:val=""/>
      <w:lvlJc w:val="left"/>
      <w:pPr>
        <w:ind w:left="1800" w:hanging="360"/>
      </w:pPr>
      <w:rPr>
        <w:rFonts w:ascii="Wingdings" w:hAnsi="Wingdings" w:hint="default"/>
      </w:rPr>
    </w:lvl>
    <w:lvl w:ilvl="3" w:tplc="141A0001">
      <w:start w:val="1"/>
      <w:numFmt w:val="bullet"/>
      <w:lvlText w:val=""/>
      <w:lvlJc w:val="left"/>
      <w:pPr>
        <w:ind w:left="2520" w:hanging="360"/>
      </w:pPr>
      <w:rPr>
        <w:rFonts w:ascii="Symbol" w:hAnsi="Symbol" w:hint="default"/>
      </w:rPr>
    </w:lvl>
    <w:lvl w:ilvl="4" w:tplc="141A0003">
      <w:start w:val="1"/>
      <w:numFmt w:val="bullet"/>
      <w:lvlText w:val="o"/>
      <w:lvlJc w:val="left"/>
      <w:pPr>
        <w:ind w:left="3240" w:hanging="360"/>
      </w:pPr>
      <w:rPr>
        <w:rFonts w:ascii="Courier New" w:hAnsi="Courier New" w:cs="Courier New" w:hint="default"/>
      </w:rPr>
    </w:lvl>
    <w:lvl w:ilvl="5" w:tplc="141A0005">
      <w:start w:val="1"/>
      <w:numFmt w:val="bullet"/>
      <w:lvlText w:val=""/>
      <w:lvlJc w:val="left"/>
      <w:pPr>
        <w:ind w:left="3960" w:hanging="360"/>
      </w:pPr>
      <w:rPr>
        <w:rFonts w:ascii="Wingdings" w:hAnsi="Wingdings" w:hint="default"/>
      </w:rPr>
    </w:lvl>
    <w:lvl w:ilvl="6" w:tplc="141A0001">
      <w:start w:val="1"/>
      <w:numFmt w:val="bullet"/>
      <w:lvlText w:val=""/>
      <w:lvlJc w:val="left"/>
      <w:pPr>
        <w:ind w:left="4680" w:hanging="360"/>
      </w:pPr>
      <w:rPr>
        <w:rFonts w:ascii="Symbol" w:hAnsi="Symbol" w:hint="default"/>
      </w:rPr>
    </w:lvl>
    <w:lvl w:ilvl="7" w:tplc="141A0003">
      <w:start w:val="1"/>
      <w:numFmt w:val="bullet"/>
      <w:lvlText w:val="o"/>
      <w:lvlJc w:val="left"/>
      <w:pPr>
        <w:ind w:left="5400" w:hanging="360"/>
      </w:pPr>
      <w:rPr>
        <w:rFonts w:ascii="Courier New" w:hAnsi="Courier New" w:cs="Courier New" w:hint="default"/>
      </w:rPr>
    </w:lvl>
    <w:lvl w:ilvl="8" w:tplc="141A0005">
      <w:start w:val="1"/>
      <w:numFmt w:val="bullet"/>
      <w:lvlText w:val=""/>
      <w:lvlJc w:val="left"/>
      <w:pPr>
        <w:ind w:left="6120" w:hanging="360"/>
      </w:pPr>
      <w:rPr>
        <w:rFonts w:ascii="Wingdings" w:hAnsi="Wingdings" w:hint="default"/>
      </w:rPr>
    </w:lvl>
  </w:abstractNum>
  <w:abstractNum w:abstractNumId="20" w15:restartNumberingAfterBreak="0">
    <w:nsid w:val="44094FDD"/>
    <w:multiLevelType w:val="hybridMultilevel"/>
    <w:tmpl w:val="4428012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1" w15:restartNumberingAfterBreak="0">
    <w:nsid w:val="46C95CBC"/>
    <w:multiLevelType w:val="hybridMultilevel"/>
    <w:tmpl w:val="D3E45786"/>
    <w:lvl w:ilvl="0" w:tplc="4ECA1B8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9F794C"/>
    <w:multiLevelType w:val="multilevel"/>
    <w:tmpl w:val="6EA0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775322"/>
    <w:multiLevelType w:val="hybridMultilevel"/>
    <w:tmpl w:val="D298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955C09"/>
    <w:multiLevelType w:val="multilevel"/>
    <w:tmpl w:val="267E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B73EE2"/>
    <w:multiLevelType w:val="hybridMultilevel"/>
    <w:tmpl w:val="495A81BA"/>
    <w:lvl w:ilvl="0" w:tplc="C806397A">
      <w:start w:val="1"/>
      <w:numFmt w:val="bullet"/>
      <w:lvlText w:val="-"/>
      <w:lvlJc w:val="left"/>
      <w:pPr>
        <w:ind w:left="720" w:hanging="360"/>
      </w:pPr>
      <w:rPr>
        <w:rFonts w:ascii="Gill Sans MT" w:eastAsiaTheme="minorHAnsi" w:hAnsi="Gill Sans MT" w:cstheme="minorBid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6" w15:restartNumberingAfterBreak="0">
    <w:nsid w:val="5ACE57A1"/>
    <w:multiLevelType w:val="multilevel"/>
    <w:tmpl w:val="E8EA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197AA0"/>
    <w:multiLevelType w:val="multilevel"/>
    <w:tmpl w:val="477A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552358"/>
    <w:multiLevelType w:val="hybridMultilevel"/>
    <w:tmpl w:val="2200A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2B4655"/>
    <w:multiLevelType w:val="multilevel"/>
    <w:tmpl w:val="F340A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181FE0"/>
    <w:multiLevelType w:val="multilevel"/>
    <w:tmpl w:val="28C6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D076AA"/>
    <w:multiLevelType w:val="hybridMultilevel"/>
    <w:tmpl w:val="4CD4D4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C9A7E27"/>
    <w:multiLevelType w:val="hybridMultilevel"/>
    <w:tmpl w:val="057E185A"/>
    <w:lvl w:ilvl="0" w:tplc="674E8B5E">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2"/>
  </w:num>
  <w:num w:numId="4">
    <w:abstractNumId w:val="31"/>
  </w:num>
  <w:num w:numId="5">
    <w:abstractNumId w:val="15"/>
  </w:num>
  <w:num w:numId="6">
    <w:abstractNumId w:val="28"/>
  </w:num>
  <w:num w:numId="7">
    <w:abstractNumId w:val="8"/>
  </w:num>
  <w:num w:numId="8">
    <w:abstractNumId w:val="4"/>
  </w:num>
  <w:num w:numId="9">
    <w:abstractNumId w:val="11"/>
  </w:num>
  <w:num w:numId="10">
    <w:abstractNumId w:val="3"/>
  </w:num>
  <w:num w:numId="11">
    <w:abstractNumId w:val="13"/>
  </w:num>
  <w:num w:numId="12">
    <w:abstractNumId w:val="1"/>
  </w:num>
  <w:num w:numId="13">
    <w:abstractNumId w:val="21"/>
  </w:num>
  <w:num w:numId="14">
    <w:abstractNumId w:val="14"/>
  </w:num>
  <w:num w:numId="15">
    <w:abstractNumId w:val="32"/>
  </w:num>
  <w:num w:numId="16">
    <w:abstractNumId w:val="9"/>
  </w:num>
  <w:num w:numId="17">
    <w:abstractNumId w:val="19"/>
  </w:num>
  <w:num w:numId="18">
    <w:abstractNumId w:val="23"/>
  </w:num>
  <w:num w:numId="19">
    <w:abstractNumId w:val="25"/>
  </w:num>
  <w:num w:numId="20">
    <w:abstractNumId w:val="27"/>
  </w:num>
  <w:num w:numId="21">
    <w:abstractNumId w:val="18"/>
  </w:num>
  <w:num w:numId="22">
    <w:abstractNumId w:val="10"/>
  </w:num>
  <w:num w:numId="23">
    <w:abstractNumId w:val="17"/>
  </w:num>
  <w:num w:numId="24">
    <w:abstractNumId w:val="5"/>
  </w:num>
  <w:num w:numId="25">
    <w:abstractNumId w:val="24"/>
  </w:num>
  <w:num w:numId="26">
    <w:abstractNumId w:val="26"/>
  </w:num>
  <w:num w:numId="27">
    <w:abstractNumId w:val="29"/>
  </w:num>
  <w:num w:numId="28">
    <w:abstractNumId w:val="30"/>
  </w:num>
  <w:num w:numId="29">
    <w:abstractNumId w:val="22"/>
  </w:num>
  <w:num w:numId="30">
    <w:abstractNumId w:val="0"/>
  </w:num>
  <w:num w:numId="31">
    <w:abstractNumId w:val="16"/>
  </w:num>
  <w:num w:numId="32">
    <w:abstractNumId w:val="6"/>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0NTAyMjE0tTAyMDRW0lEKTi0uzszPAykwqQUAbjaE3ywAAAA="/>
  </w:docVars>
  <w:rsids>
    <w:rsidRoot w:val="00162672"/>
    <w:rsid w:val="00004D82"/>
    <w:rsid w:val="000127B3"/>
    <w:rsid w:val="00013775"/>
    <w:rsid w:val="00013A48"/>
    <w:rsid w:val="00020162"/>
    <w:rsid w:val="0002130F"/>
    <w:rsid w:val="00022776"/>
    <w:rsid w:val="00023A27"/>
    <w:rsid w:val="00024ADB"/>
    <w:rsid w:val="00025036"/>
    <w:rsid w:val="000262F6"/>
    <w:rsid w:val="00026876"/>
    <w:rsid w:val="000279CB"/>
    <w:rsid w:val="0003243B"/>
    <w:rsid w:val="000359C2"/>
    <w:rsid w:val="0003797F"/>
    <w:rsid w:val="00041F6A"/>
    <w:rsid w:val="00045124"/>
    <w:rsid w:val="00046068"/>
    <w:rsid w:val="00046853"/>
    <w:rsid w:val="00047DC5"/>
    <w:rsid w:val="0005073D"/>
    <w:rsid w:val="0005456F"/>
    <w:rsid w:val="0005798C"/>
    <w:rsid w:val="00063B31"/>
    <w:rsid w:val="0006404B"/>
    <w:rsid w:val="00065F5E"/>
    <w:rsid w:val="000660BC"/>
    <w:rsid w:val="0006766B"/>
    <w:rsid w:val="00067673"/>
    <w:rsid w:val="00070A52"/>
    <w:rsid w:val="000713CB"/>
    <w:rsid w:val="00074E82"/>
    <w:rsid w:val="00074FD8"/>
    <w:rsid w:val="0008025C"/>
    <w:rsid w:val="00084B16"/>
    <w:rsid w:val="00087CBC"/>
    <w:rsid w:val="0009009D"/>
    <w:rsid w:val="000916FF"/>
    <w:rsid w:val="00092A2D"/>
    <w:rsid w:val="000949D3"/>
    <w:rsid w:val="000A4690"/>
    <w:rsid w:val="000A478E"/>
    <w:rsid w:val="000B40F3"/>
    <w:rsid w:val="000B74F7"/>
    <w:rsid w:val="000C5FFF"/>
    <w:rsid w:val="000C7AA5"/>
    <w:rsid w:val="000D17C4"/>
    <w:rsid w:val="000D2426"/>
    <w:rsid w:val="000D2BB1"/>
    <w:rsid w:val="000D6A41"/>
    <w:rsid w:val="000D7236"/>
    <w:rsid w:val="000E1EF3"/>
    <w:rsid w:val="000E2E92"/>
    <w:rsid w:val="000E7F2B"/>
    <w:rsid w:val="000F03F7"/>
    <w:rsid w:val="000F2F69"/>
    <w:rsid w:val="000F3FFF"/>
    <w:rsid w:val="0010137C"/>
    <w:rsid w:val="001075E8"/>
    <w:rsid w:val="00111E29"/>
    <w:rsid w:val="00113516"/>
    <w:rsid w:val="00116498"/>
    <w:rsid w:val="001201FC"/>
    <w:rsid w:val="001209B8"/>
    <w:rsid w:val="00125892"/>
    <w:rsid w:val="00133135"/>
    <w:rsid w:val="00135B0A"/>
    <w:rsid w:val="00150041"/>
    <w:rsid w:val="00152122"/>
    <w:rsid w:val="001549C3"/>
    <w:rsid w:val="0015642D"/>
    <w:rsid w:val="001607C0"/>
    <w:rsid w:val="0016184B"/>
    <w:rsid w:val="00162672"/>
    <w:rsid w:val="001637B5"/>
    <w:rsid w:val="00164AC4"/>
    <w:rsid w:val="001650F2"/>
    <w:rsid w:val="00165651"/>
    <w:rsid w:val="001728D4"/>
    <w:rsid w:val="00175F83"/>
    <w:rsid w:val="00176ACA"/>
    <w:rsid w:val="00182C20"/>
    <w:rsid w:val="00187A70"/>
    <w:rsid w:val="00190133"/>
    <w:rsid w:val="00192412"/>
    <w:rsid w:val="00192F3E"/>
    <w:rsid w:val="00193DA7"/>
    <w:rsid w:val="00195DC1"/>
    <w:rsid w:val="0019692A"/>
    <w:rsid w:val="00197AEA"/>
    <w:rsid w:val="001A4342"/>
    <w:rsid w:val="001A4675"/>
    <w:rsid w:val="001A7CD0"/>
    <w:rsid w:val="001B22C0"/>
    <w:rsid w:val="001B3684"/>
    <w:rsid w:val="001B5D65"/>
    <w:rsid w:val="001B76E9"/>
    <w:rsid w:val="001B7E5D"/>
    <w:rsid w:val="001C2DD3"/>
    <w:rsid w:val="001C517F"/>
    <w:rsid w:val="001C6117"/>
    <w:rsid w:val="001C678B"/>
    <w:rsid w:val="001C798F"/>
    <w:rsid w:val="001D12BF"/>
    <w:rsid w:val="001D2F31"/>
    <w:rsid w:val="001D3286"/>
    <w:rsid w:val="001D7897"/>
    <w:rsid w:val="001E1E50"/>
    <w:rsid w:val="001E3CDD"/>
    <w:rsid w:val="001E58DD"/>
    <w:rsid w:val="001F0A05"/>
    <w:rsid w:val="001F4520"/>
    <w:rsid w:val="001F7737"/>
    <w:rsid w:val="00200E4B"/>
    <w:rsid w:val="00201550"/>
    <w:rsid w:val="00205B8F"/>
    <w:rsid w:val="0020646B"/>
    <w:rsid w:val="00207986"/>
    <w:rsid w:val="0021477E"/>
    <w:rsid w:val="00215B5A"/>
    <w:rsid w:val="00215BB9"/>
    <w:rsid w:val="00221A49"/>
    <w:rsid w:val="00224027"/>
    <w:rsid w:val="00235D9F"/>
    <w:rsid w:val="00237746"/>
    <w:rsid w:val="0024688B"/>
    <w:rsid w:val="00246F62"/>
    <w:rsid w:val="002470D8"/>
    <w:rsid w:val="00250200"/>
    <w:rsid w:val="00251F00"/>
    <w:rsid w:val="0025382A"/>
    <w:rsid w:val="002568B0"/>
    <w:rsid w:val="00260024"/>
    <w:rsid w:val="0026115C"/>
    <w:rsid w:val="0026139F"/>
    <w:rsid w:val="002625B7"/>
    <w:rsid w:val="00271CBD"/>
    <w:rsid w:val="00273801"/>
    <w:rsid w:val="00273E12"/>
    <w:rsid w:val="002744E5"/>
    <w:rsid w:val="002763D3"/>
    <w:rsid w:val="002773D0"/>
    <w:rsid w:val="0028003F"/>
    <w:rsid w:val="00281BCD"/>
    <w:rsid w:val="002822E3"/>
    <w:rsid w:val="00282471"/>
    <w:rsid w:val="0028317E"/>
    <w:rsid w:val="00283869"/>
    <w:rsid w:val="00285E3D"/>
    <w:rsid w:val="0028754C"/>
    <w:rsid w:val="00290D98"/>
    <w:rsid w:val="00291245"/>
    <w:rsid w:val="00292764"/>
    <w:rsid w:val="00292829"/>
    <w:rsid w:val="00295245"/>
    <w:rsid w:val="002960D4"/>
    <w:rsid w:val="002A0BAF"/>
    <w:rsid w:val="002A5085"/>
    <w:rsid w:val="002A6958"/>
    <w:rsid w:val="002C1D17"/>
    <w:rsid w:val="002C4168"/>
    <w:rsid w:val="002C5C1E"/>
    <w:rsid w:val="002C7D68"/>
    <w:rsid w:val="002D03D4"/>
    <w:rsid w:val="002D3818"/>
    <w:rsid w:val="002D5A29"/>
    <w:rsid w:val="002E448F"/>
    <w:rsid w:val="002E7D4D"/>
    <w:rsid w:val="002F05C4"/>
    <w:rsid w:val="002F359E"/>
    <w:rsid w:val="003006BE"/>
    <w:rsid w:val="003125DF"/>
    <w:rsid w:val="003165C9"/>
    <w:rsid w:val="00316D91"/>
    <w:rsid w:val="00317AF6"/>
    <w:rsid w:val="00320BE4"/>
    <w:rsid w:val="00325821"/>
    <w:rsid w:val="003307F2"/>
    <w:rsid w:val="003338C3"/>
    <w:rsid w:val="00334BAF"/>
    <w:rsid w:val="003355CE"/>
    <w:rsid w:val="00335E4F"/>
    <w:rsid w:val="00336AD4"/>
    <w:rsid w:val="0034237E"/>
    <w:rsid w:val="00342DB3"/>
    <w:rsid w:val="0035157C"/>
    <w:rsid w:val="00354E56"/>
    <w:rsid w:val="0036016B"/>
    <w:rsid w:val="00364570"/>
    <w:rsid w:val="0036563E"/>
    <w:rsid w:val="00366F8E"/>
    <w:rsid w:val="00367512"/>
    <w:rsid w:val="003704D5"/>
    <w:rsid w:val="003707D7"/>
    <w:rsid w:val="003712D8"/>
    <w:rsid w:val="00380F59"/>
    <w:rsid w:val="003828CB"/>
    <w:rsid w:val="00383974"/>
    <w:rsid w:val="00386D56"/>
    <w:rsid w:val="0038780C"/>
    <w:rsid w:val="00392124"/>
    <w:rsid w:val="00392559"/>
    <w:rsid w:val="0039355F"/>
    <w:rsid w:val="00394680"/>
    <w:rsid w:val="00395684"/>
    <w:rsid w:val="003A3A4E"/>
    <w:rsid w:val="003A67CB"/>
    <w:rsid w:val="003B00F2"/>
    <w:rsid w:val="003B0ADA"/>
    <w:rsid w:val="003B0EA2"/>
    <w:rsid w:val="003B1CCA"/>
    <w:rsid w:val="003B321C"/>
    <w:rsid w:val="003B3F37"/>
    <w:rsid w:val="003C0AC3"/>
    <w:rsid w:val="003C5B78"/>
    <w:rsid w:val="003C66A4"/>
    <w:rsid w:val="003C7E03"/>
    <w:rsid w:val="003D18AD"/>
    <w:rsid w:val="003D30BC"/>
    <w:rsid w:val="003D3E76"/>
    <w:rsid w:val="003D4EB2"/>
    <w:rsid w:val="003E20BC"/>
    <w:rsid w:val="003E57BB"/>
    <w:rsid w:val="003F00A9"/>
    <w:rsid w:val="003F1636"/>
    <w:rsid w:val="003F5943"/>
    <w:rsid w:val="003F7EDC"/>
    <w:rsid w:val="004076ED"/>
    <w:rsid w:val="004148BA"/>
    <w:rsid w:val="0041498C"/>
    <w:rsid w:val="00415BA0"/>
    <w:rsid w:val="00417BFA"/>
    <w:rsid w:val="00422053"/>
    <w:rsid w:val="00424A12"/>
    <w:rsid w:val="00426FA0"/>
    <w:rsid w:val="00430AFF"/>
    <w:rsid w:val="00432E44"/>
    <w:rsid w:val="00437F58"/>
    <w:rsid w:val="0044337F"/>
    <w:rsid w:val="00447F31"/>
    <w:rsid w:val="00452536"/>
    <w:rsid w:val="004539CD"/>
    <w:rsid w:val="00453EA8"/>
    <w:rsid w:val="00460E74"/>
    <w:rsid w:val="00464267"/>
    <w:rsid w:val="00465060"/>
    <w:rsid w:val="00470CAF"/>
    <w:rsid w:val="00472A94"/>
    <w:rsid w:val="00472DD9"/>
    <w:rsid w:val="004756F1"/>
    <w:rsid w:val="00476A6A"/>
    <w:rsid w:val="00477159"/>
    <w:rsid w:val="00477CF0"/>
    <w:rsid w:val="00480322"/>
    <w:rsid w:val="00480D31"/>
    <w:rsid w:val="00482E0D"/>
    <w:rsid w:val="00484100"/>
    <w:rsid w:val="004915C9"/>
    <w:rsid w:val="004944E6"/>
    <w:rsid w:val="004966D3"/>
    <w:rsid w:val="004A0863"/>
    <w:rsid w:val="004A1591"/>
    <w:rsid w:val="004A3521"/>
    <w:rsid w:val="004A3ECC"/>
    <w:rsid w:val="004A5A0F"/>
    <w:rsid w:val="004C03DB"/>
    <w:rsid w:val="004C43B8"/>
    <w:rsid w:val="004C695A"/>
    <w:rsid w:val="004C7A74"/>
    <w:rsid w:val="004D741C"/>
    <w:rsid w:val="004E0FB8"/>
    <w:rsid w:val="004E2C0A"/>
    <w:rsid w:val="004E4648"/>
    <w:rsid w:val="004E6B3B"/>
    <w:rsid w:val="004F18F8"/>
    <w:rsid w:val="004F1A75"/>
    <w:rsid w:val="004F24D4"/>
    <w:rsid w:val="004F5F5C"/>
    <w:rsid w:val="004F6ADB"/>
    <w:rsid w:val="004F7F61"/>
    <w:rsid w:val="005010F7"/>
    <w:rsid w:val="005055E6"/>
    <w:rsid w:val="00511BEA"/>
    <w:rsid w:val="00514A4C"/>
    <w:rsid w:val="00521ECA"/>
    <w:rsid w:val="00522BD7"/>
    <w:rsid w:val="00522C6A"/>
    <w:rsid w:val="00522FC8"/>
    <w:rsid w:val="00525335"/>
    <w:rsid w:val="005256D0"/>
    <w:rsid w:val="0052646F"/>
    <w:rsid w:val="0052690C"/>
    <w:rsid w:val="00526B25"/>
    <w:rsid w:val="00535F8B"/>
    <w:rsid w:val="005419FE"/>
    <w:rsid w:val="005440BF"/>
    <w:rsid w:val="00544CF6"/>
    <w:rsid w:val="005471F9"/>
    <w:rsid w:val="005503BA"/>
    <w:rsid w:val="00550A64"/>
    <w:rsid w:val="0055121F"/>
    <w:rsid w:val="00555CA3"/>
    <w:rsid w:val="00555FBB"/>
    <w:rsid w:val="00560B66"/>
    <w:rsid w:val="00564D0F"/>
    <w:rsid w:val="00564F09"/>
    <w:rsid w:val="00565596"/>
    <w:rsid w:val="0056621F"/>
    <w:rsid w:val="00566A95"/>
    <w:rsid w:val="00567293"/>
    <w:rsid w:val="00567C14"/>
    <w:rsid w:val="0057276B"/>
    <w:rsid w:val="00572C6E"/>
    <w:rsid w:val="00576430"/>
    <w:rsid w:val="0057777A"/>
    <w:rsid w:val="005859C3"/>
    <w:rsid w:val="00591C0A"/>
    <w:rsid w:val="00592E39"/>
    <w:rsid w:val="005936BA"/>
    <w:rsid w:val="005A0C5A"/>
    <w:rsid w:val="005A4215"/>
    <w:rsid w:val="005A4B29"/>
    <w:rsid w:val="005B0459"/>
    <w:rsid w:val="005B4824"/>
    <w:rsid w:val="005B6E68"/>
    <w:rsid w:val="005C0C8D"/>
    <w:rsid w:val="005C1154"/>
    <w:rsid w:val="005C2525"/>
    <w:rsid w:val="005C52B7"/>
    <w:rsid w:val="005C697B"/>
    <w:rsid w:val="005C7EE8"/>
    <w:rsid w:val="005D4094"/>
    <w:rsid w:val="005D74FD"/>
    <w:rsid w:val="005E1CA6"/>
    <w:rsid w:val="005E25C7"/>
    <w:rsid w:val="005F4E9E"/>
    <w:rsid w:val="00600F19"/>
    <w:rsid w:val="00603E79"/>
    <w:rsid w:val="00606A23"/>
    <w:rsid w:val="00606C67"/>
    <w:rsid w:val="00607BA4"/>
    <w:rsid w:val="00607C1F"/>
    <w:rsid w:val="00614AC2"/>
    <w:rsid w:val="00620BCD"/>
    <w:rsid w:val="00624B94"/>
    <w:rsid w:val="00625632"/>
    <w:rsid w:val="00627D8E"/>
    <w:rsid w:val="00627F27"/>
    <w:rsid w:val="00632EA7"/>
    <w:rsid w:val="00632EB8"/>
    <w:rsid w:val="006351DB"/>
    <w:rsid w:val="006351F2"/>
    <w:rsid w:val="0064724C"/>
    <w:rsid w:val="00651865"/>
    <w:rsid w:val="00653383"/>
    <w:rsid w:val="00654B06"/>
    <w:rsid w:val="00664912"/>
    <w:rsid w:val="00664E34"/>
    <w:rsid w:val="00672BB7"/>
    <w:rsid w:val="00673165"/>
    <w:rsid w:val="00674DEA"/>
    <w:rsid w:val="00674E7A"/>
    <w:rsid w:val="00684446"/>
    <w:rsid w:val="00691E0F"/>
    <w:rsid w:val="00692734"/>
    <w:rsid w:val="0069273B"/>
    <w:rsid w:val="00692D99"/>
    <w:rsid w:val="006A1604"/>
    <w:rsid w:val="006A16BD"/>
    <w:rsid w:val="006A19AF"/>
    <w:rsid w:val="006A6A15"/>
    <w:rsid w:val="006A71B6"/>
    <w:rsid w:val="006B3F85"/>
    <w:rsid w:val="006B66A2"/>
    <w:rsid w:val="006B75DD"/>
    <w:rsid w:val="006B7691"/>
    <w:rsid w:val="006C3D5D"/>
    <w:rsid w:val="006C549C"/>
    <w:rsid w:val="006C7A9E"/>
    <w:rsid w:val="006C7BD8"/>
    <w:rsid w:val="006D3ED7"/>
    <w:rsid w:val="006D4A56"/>
    <w:rsid w:val="006D577E"/>
    <w:rsid w:val="006D5CC7"/>
    <w:rsid w:val="006E067F"/>
    <w:rsid w:val="006E277F"/>
    <w:rsid w:val="006E4A7B"/>
    <w:rsid w:val="006E6732"/>
    <w:rsid w:val="006F28C2"/>
    <w:rsid w:val="006F34E4"/>
    <w:rsid w:val="006F6888"/>
    <w:rsid w:val="007124F0"/>
    <w:rsid w:val="00713FE4"/>
    <w:rsid w:val="00714732"/>
    <w:rsid w:val="0071485F"/>
    <w:rsid w:val="007149E5"/>
    <w:rsid w:val="00714E5C"/>
    <w:rsid w:val="00720027"/>
    <w:rsid w:val="007210A9"/>
    <w:rsid w:val="0072112D"/>
    <w:rsid w:val="0073082C"/>
    <w:rsid w:val="00740BF8"/>
    <w:rsid w:val="00740DE7"/>
    <w:rsid w:val="00743802"/>
    <w:rsid w:val="00754305"/>
    <w:rsid w:val="00757E4B"/>
    <w:rsid w:val="00764718"/>
    <w:rsid w:val="00764E3F"/>
    <w:rsid w:val="00766969"/>
    <w:rsid w:val="00770608"/>
    <w:rsid w:val="00772B6A"/>
    <w:rsid w:val="007736BD"/>
    <w:rsid w:val="00776EE9"/>
    <w:rsid w:val="00782DE6"/>
    <w:rsid w:val="0078402A"/>
    <w:rsid w:val="007874C2"/>
    <w:rsid w:val="007905AC"/>
    <w:rsid w:val="00792932"/>
    <w:rsid w:val="00793FDD"/>
    <w:rsid w:val="00794D1B"/>
    <w:rsid w:val="007976B6"/>
    <w:rsid w:val="007A0644"/>
    <w:rsid w:val="007A1240"/>
    <w:rsid w:val="007A74EC"/>
    <w:rsid w:val="007B38EA"/>
    <w:rsid w:val="007B3F09"/>
    <w:rsid w:val="007B4FA6"/>
    <w:rsid w:val="007C26C4"/>
    <w:rsid w:val="007D181C"/>
    <w:rsid w:val="007D2A64"/>
    <w:rsid w:val="007E0777"/>
    <w:rsid w:val="007E18BF"/>
    <w:rsid w:val="007E2785"/>
    <w:rsid w:val="007E4106"/>
    <w:rsid w:val="007E54A0"/>
    <w:rsid w:val="007E5FAA"/>
    <w:rsid w:val="007E607B"/>
    <w:rsid w:val="007E6540"/>
    <w:rsid w:val="007E7749"/>
    <w:rsid w:val="007F0CCC"/>
    <w:rsid w:val="007F1AD4"/>
    <w:rsid w:val="007F1F8A"/>
    <w:rsid w:val="007F3967"/>
    <w:rsid w:val="00803896"/>
    <w:rsid w:val="00803C53"/>
    <w:rsid w:val="00807925"/>
    <w:rsid w:val="008106BF"/>
    <w:rsid w:val="00810E89"/>
    <w:rsid w:val="00811659"/>
    <w:rsid w:val="00811EB3"/>
    <w:rsid w:val="008129E6"/>
    <w:rsid w:val="00812D55"/>
    <w:rsid w:val="00812E36"/>
    <w:rsid w:val="008137A2"/>
    <w:rsid w:val="0082032B"/>
    <w:rsid w:val="00822085"/>
    <w:rsid w:val="00822B2E"/>
    <w:rsid w:val="00826001"/>
    <w:rsid w:val="0083285E"/>
    <w:rsid w:val="00834CA2"/>
    <w:rsid w:val="00836817"/>
    <w:rsid w:val="00837924"/>
    <w:rsid w:val="00837BBC"/>
    <w:rsid w:val="008418EC"/>
    <w:rsid w:val="00841FEC"/>
    <w:rsid w:val="0084341D"/>
    <w:rsid w:val="0084798D"/>
    <w:rsid w:val="00855727"/>
    <w:rsid w:val="008559B9"/>
    <w:rsid w:val="00856440"/>
    <w:rsid w:val="00861E72"/>
    <w:rsid w:val="008710BA"/>
    <w:rsid w:val="00875B8B"/>
    <w:rsid w:val="00877AAB"/>
    <w:rsid w:val="008856E5"/>
    <w:rsid w:val="008857C6"/>
    <w:rsid w:val="008861EB"/>
    <w:rsid w:val="00890406"/>
    <w:rsid w:val="00890767"/>
    <w:rsid w:val="00895395"/>
    <w:rsid w:val="008B16E5"/>
    <w:rsid w:val="008B1869"/>
    <w:rsid w:val="008B224C"/>
    <w:rsid w:val="008B2857"/>
    <w:rsid w:val="008B369B"/>
    <w:rsid w:val="008B3A90"/>
    <w:rsid w:val="008B613B"/>
    <w:rsid w:val="008B7EC3"/>
    <w:rsid w:val="008C0119"/>
    <w:rsid w:val="008C0D1A"/>
    <w:rsid w:val="008C1112"/>
    <w:rsid w:val="008C442A"/>
    <w:rsid w:val="008C55F6"/>
    <w:rsid w:val="008C592C"/>
    <w:rsid w:val="008D3366"/>
    <w:rsid w:val="008D3D9D"/>
    <w:rsid w:val="008D45AB"/>
    <w:rsid w:val="008E1883"/>
    <w:rsid w:val="008E3852"/>
    <w:rsid w:val="008E4B21"/>
    <w:rsid w:val="008E6A33"/>
    <w:rsid w:val="008F2853"/>
    <w:rsid w:val="008F3054"/>
    <w:rsid w:val="008F3889"/>
    <w:rsid w:val="008F7F2C"/>
    <w:rsid w:val="009055A0"/>
    <w:rsid w:val="009069AE"/>
    <w:rsid w:val="009104DD"/>
    <w:rsid w:val="00913E76"/>
    <w:rsid w:val="009159D1"/>
    <w:rsid w:val="00915B6C"/>
    <w:rsid w:val="00921582"/>
    <w:rsid w:val="00921FEB"/>
    <w:rsid w:val="00923D14"/>
    <w:rsid w:val="00924B42"/>
    <w:rsid w:val="00926E7E"/>
    <w:rsid w:val="00936314"/>
    <w:rsid w:val="009408FE"/>
    <w:rsid w:val="00941C2B"/>
    <w:rsid w:val="00944806"/>
    <w:rsid w:val="00947CE0"/>
    <w:rsid w:val="00952B75"/>
    <w:rsid w:val="009557DB"/>
    <w:rsid w:val="009579A8"/>
    <w:rsid w:val="00962E98"/>
    <w:rsid w:val="00963089"/>
    <w:rsid w:val="00965925"/>
    <w:rsid w:val="00970F9C"/>
    <w:rsid w:val="00971876"/>
    <w:rsid w:val="00972107"/>
    <w:rsid w:val="009761A6"/>
    <w:rsid w:val="0097644B"/>
    <w:rsid w:val="00976CBB"/>
    <w:rsid w:val="009803EF"/>
    <w:rsid w:val="00983050"/>
    <w:rsid w:val="00984875"/>
    <w:rsid w:val="009849C6"/>
    <w:rsid w:val="009854CE"/>
    <w:rsid w:val="00985962"/>
    <w:rsid w:val="00991E01"/>
    <w:rsid w:val="009924C0"/>
    <w:rsid w:val="0099714C"/>
    <w:rsid w:val="009A1442"/>
    <w:rsid w:val="009A6007"/>
    <w:rsid w:val="009A61F6"/>
    <w:rsid w:val="009B2D36"/>
    <w:rsid w:val="009B4CAA"/>
    <w:rsid w:val="009C1C02"/>
    <w:rsid w:val="009C4556"/>
    <w:rsid w:val="009C674B"/>
    <w:rsid w:val="009C70BF"/>
    <w:rsid w:val="009D1725"/>
    <w:rsid w:val="009D4E40"/>
    <w:rsid w:val="009D63FD"/>
    <w:rsid w:val="009D6C7E"/>
    <w:rsid w:val="009E1BEC"/>
    <w:rsid w:val="009E5895"/>
    <w:rsid w:val="009F0642"/>
    <w:rsid w:val="009F1BF7"/>
    <w:rsid w:val="009F213E"/>
    <w:rsid w:val="009F3DD7"/>
    <w:rsid w:val="009F5996"/>
    <w:rsid w:val="00A02633"/>
    <w:rsid w:val="00A0493A"/>
    <w:rsid w:val="00A049FF"/>
    <w:rsid w:val="00A070FF"/>
    <w:rsid w:val="00A110E9"/>
    <w:rsid w:val="00A1523C"/>
    <w:rsid w:val="00A1531D"/>
    <w:rsid w:val="00A15CF9"/>
    <w:rsid w:val="00A234C8"/>
    <w:rsid w:val="00A3077C"/>
    <w:rsid w:val="00A307B8"/>
    <w:rsid w:val="00A322EF"/>
    <w:rsid w:val="00A33A7B"/>
    <w:rsid w:val="00A3444B"/>
    <w:rsid w:val="00A43D17"/>
    <w:rsid w:val="00A43F4B"/>
    <w:rsid w:val="00A528DC"/>
    <w:rsid w:val="00A6145C"/>
    <w:rsid w:val="00A61DF6"/>
    <w:rsid w:val="00A6349E"/>
    <w:rsid w:val="00A63BC0"/>
    <w:rsid w:val="00A74949"/>
    <w:rsid w:val="00A763C4"/>
    <w:rsid w:val="00A85A90"/>
    <w:rsid w:val="00A92F9C"/>
    <w:rsid w:val="00AA188D"/>
    <w:rsid w:val="00AB1567"/>
    <w:rsid w:val="00AB3912"/>
    <w:rsid w:val="00AB4307"/>
    <w:rsid w:val="00AB6B29"/>
    <w:rsid w:val="00AC0448"/>
    <w:rsid w:val="00AC2347"/>
    <w:rsid w:val="00AD034B"/>
    <w:rsid w:val="00AD0E88"/>
    <w:rsid w:val="00AD2E1C"/>
    <w:rsid w:val="00AD5309"/>
    <w:rsid w:val="00AD6F9F"/>
    <w:rsid w:val="00AE2952"/>
    <w:rsid w:val="00AE4A14"/>
    <w:rsid w:val="00AE64FA"/>
    <w:rsid w:val="00AF11BC"/>
    <w:rsid w:val="00AF366D"/>
    <w:rsid w:val="00AF3DB2"/>
    <w:rsid w:val="00AF5865"/>
    <w:rsid w:val="00AF7AF7"/>
    <w:rsid w:val="00B02F1A"/>
    <w:rsid w:val="00B0341F"/>
    <w:rsid w:val="00B04BC9"/>
    <w:rsid w:val="00B05864"/>
    <w:rsid w:val="00B2035D"/>
    <w:rsid w:val="00B22583"/>
    <w:rsid w:val="00B267EE"/>
    <w:rsid w:val="00B30DFE"/>
    <w:rsid w:val="00B3231F"/>
    <w:rsid w:val="00B34427"/>
    <w:rsid w:val="00B44CA6"/>
    <w:rsid w:val="00B45C9B"/>
    <w:rsid w:val="00B47C60"/>
    <w:rsid w:val="00B47CFD"/>
    <w:rsid w:val="00B51F66"/>
    <w:rsid w:val="00B541AB"/>
    <w:rsid w:val="00B613F2"/>
    <w:rsid w:val="00B637BD"/>
    <w:rsid w:val="00B769A0"/>
    <w:rsid w:val="00B83238"/>
    <w:rsid w:val="00B903C0"/>
    <w:rsid w:val="00B911C9"/>
    <w:rsid w:val="00B93251"/>
    <w:rsid w:val="00BA0516"/>
    <w:rsid w:val="00BA0BA4"/>
    <w:rsid w:val="00BA38E8"/>
    <w:rsid w:val="00BA4E24"/>
    <w:rsid w:val="00BA5A8E"/>
    <w:rsid w:val="00BA6637"/>
    <w:rsid w:val="00BB0707"/>
    <w:rsid w:val="00BB4214"/>
    <w:rsid w:val="00BB6661"/>
    <w:rsid w:val="00BC0902"/>
    <w:rsid w:val="00BC1B87"/>
    <w:rsid w:val="00BC2070"/>
    <w:rsid w:val="00BC2E3D"/>
    <w:rsid w:val="00BC745D"/>
    <w:rsid w:val="00BC7D1E"/>
    <w:rsid w:val="00BD0AEA"/>
    <w:rsid w:val="00BD41C1"/>
    <w:rsid w:val="00BD7835"/>
    <w:rsid w:val="00BE464E"/>
    <w:rsid w:val="00BE5CA0"/>
    <w:rsid w:val="00BF0451"/>
    <w:rsid w:val="00BF0538"/>
    <w:rsid w:val="00BF16C4"/>
    <w:rsid w:val="00BF5B32"/>
    <w:rsid w:val="00BF5D2F"/>
    <w:rsid w:val="00C02450"/>
    <w:rsid w:val="00C10114"/>
    <w:rsid w:val="00C1092A"/>
    <w:rsid w:val="00C231E0"/>
    <w:rsid w:val="00C23471"/>
    <w:rsid w:val="00C26D2D"/>
    <w:rsid w:val="00C2773B"/>
    <w:rsid w:val="00C30DDA"/>
    <w:rsid w:val="00C31718"/>
    <w:rsid w:val="00C32CFC"/>
    <w:rsid w:val="00C35BF2"/>
    <w:rsid w:val="00C35E6B"/>
    <w:rsid w:val="00C3759A"/>
    <w:rsid w:val="00C4476D"/>
    <w:rsid w:val="00C5281D"/>
    <w:rsid w:val="00C531A2"/>
    <w:rsid w:val="00C562B2"/>
    <w:rsid w:val="00C573C3"/>
    <w:rsid w:val="00C57DA7"/>
    <w:rsid w:val="00C607B7"/>
    <w:rsid w:val="00C62099"/>
    <w:rsid w:val="00C63F6A"/>
    <w:rsid w:val="00C658F4"/>
    <w:rsid w:val="00C67C1D"/>
    <w:rsid w:val="00C71731"/>
    <w:rsid w:val="00C71A99"/>
    <w:rsid w:val="00C8050A"/>
    <w:rsid w:val="00C8152E"/>
    <w:rsid w:val="00C8241A"/>
    <w:rsid w:val="00C83AEE"/>
    <w:rsid w:val="00C85480"/>
    <w:rsid w:val="00C8730F"/>
    <w:rsid w:val="00C90BE4"/>
    <w:rsid w:val="00C90FC1"/>
    <w:rsid w:val="00C974E2"/>
    <w:rsid w:val="00CA20C7"/>
    <w:rsid w:val="00CA22D2"/>
    <w:rsid w:val="00CA2515"/>
    <w:rsid w:val="00CA3298"/>
    <w:rsid w:val="00CA3D4B"/>
    <w:rsid w:val="00CA3F5A"/>
    <w:rsid w:val="00CA7994"/>
    <w:rsid w:val="00CB182B"/>
    <w:rsid w:val="00CB3955"/>
    <w:rsid w:val="00CB61DF"/>
    <w:rsid w:val="00CB727B"/>
    <w:rsid w:val="00CB7B8E"/>
    <w:rsid w:val="00CC13D3"/>
    <w:rsid w:val="00CC1E99"/>
    <w:rsid w:val="00CC2906"/>
    <w:rsid w:val="00CC6643"/>
    <w:rsid w:val="00CD0BCB"/>
    <w:rsid w:val="00CD3D7A"/>
    <w:rsid w:val="00CD4197"/>
    <w:rsid w:val="00CE006C"/>
    <w:rsid w:val="00CE1656"/>
    <w:rsid w:val="00CE3504"/>
    <w:rsid w:val="00CE45D7"/>
    <w:rsid w:val="00CF2592"/>
    <w:rsid w:val="00CF5EEC"/>
    <w:rsid w:val="00CF612C"/>
    <w:rsid w:val="00CF7D43"/>
    <w:rsid w:val="00D03BF9"/>
    <w:rsid w:val="00D04A63"/>
    <w:rsid w:val="00D04EB9"/>
    <w:rsid w:val="00D11B7E"/>
    <w:rsid w:val="00D1202F"/>
    <w:rsid w:val="00D1291A"/>
    <w:rsid w:val="00D1461E"/>
    <w:rsid w:val="00D20D56"/>
    <w:rsid w:val="00D222D4"/>
    <w:rsid w:val="00D265BA"/>
    <w:rsid w:val="00D35309"/>
    <w:rsid w:val="00D3720C"/>
    <w:rsid w:val="00D40D7F"/>
    <w:rsid w:val="00D43BDE"/>
    <w:rsid w:val="00D44E8C"/>
    <w:rsid w:val="00D452E1"/>
    <w:rsid w:val="00D545B7"/>
    <w:rsid w:val="00D56233"/>
    <w:rsid w:val="00D60554"/>
    <w:rsid w:val="00D618E6"/>
    <w:rsid w:val="00D622C3"/>
    <w:rsid w:val="00D62E91"/>
    <w:rsid w:val="00D670DD"/>
    <w:rsid w:val="00D67F0C"/>
    <w:rsid w:val="00D704BB"/>
    <w:rsid w:val="00D7108B"/>
    <w:rsid w:val="00D84178"/>
    <w:rsid w:val="00D85A8C"/>
    <w:rsid w:val="00D86EFE"/>
    <w:rsid w:val="00D8743E"/>
    <w:rsid w:val="00D903A1"/>
    <w:rsid w:val="00D9126C"/>
    <w:rsid w:val="00D91520"/>
    <w:rsid w:val="00D915AC"/>
    <w:rsid w:val="00DA0784"/>
    <w:rsid w:val="00DA19BC"/>
    <w:rsid w:val="00DA33A8"/>
    <w:rsid w:val="00DB02D5"/>
    <w:rsid w:val="00DB0F2F"/>
    <w:rsid w:val="00DB1092"/>
    <w:rsid w:val="00DB5265"/>
    <w:rsid w:val="00DB615E"/>
    <w:rsid w:val="00DB6B69"/>
    <w:rsid w:val="00DC1E6E"/>
    <w:rsid w:val="00DC1FC4"/>
    <w:rsid w:val="00DC6351"/>
    <w:rsid w:val="00DC7177"/>
    <w:rsid w:val="00DD25D8"/>
    <w:rsid w:val="00DD2A1D"/>
    <w:rsid w:val="00DD494B"/>
    <w:rsid w:val="00DD6CC7"/>
    <w:rsid w:val="00DE1A46"/>
    <w:rsid w:val="00DE2D9A"/>
    <w:rsid w:val="00DE3BB0"/>
    <w:rsid w:val="00DE409D"/>
    <w:rsid w:val="00DF0A96"/>
    <w:rsid w:val="00DF1DE4"/>
    <w:rsid w:val="00E02314"/>
    <w:rsid w:val="00E02D13"/>
    <w:rsid w:val="00E12120"/>
    <w:rsid w:val="00E123A9"/>
    <w:rsid w:val="00E1531E"/>
    <w:rsid w:val="00E163CB"/>
    <w:rsid w:val="00E249A1"/>
    <w:rsid w:val="00E32E20"/>
    <w:rsid w:val="00E41118"/>
    <w:rsid w:val="00E4697C"/>
    <w:rsid w:val="00E47703"/>
    <w:rsid w:val="00E51367"/>
    <w:rsid w:val="00E520DB"/>
    <w:rsid w:val="00E54FCA"/>
    <w:rsid w:val="00E55BD0"/>
    <w:rsid w:val="00E56471"/>
    <w:rsid w:val="00E6174F"/>
    <w:rsid w:val="00E65652"/>
    <w:rsid w:val="00E70B03"/>
    <w:rsid w:val="00E7265A"/>
    <w:rsid w:val="00E72BF7"/>
    <w:rsid w:val="00E804D7"/>
    <w:rsid w:val="00E805D0"/>
    <w:rsid w:val="00E809C6"/>
    <w:rsid w:val="00E83565"/>
    <w:rsid w:val="00E86716"/>
    <w:rsid w:val="00E87959"/>
    <w:rsid w:val="00E9086F"/>
    <w:rsid w:val="00E94CA1"/>
    <w:rsid w:val="00EA22E1"/>
    <w:rsid w:val="00EA304D"/>
    <w:rsid w:val="00EA36DA"/>
    <w:rsid w:val="00EA3CE0"/>
    <w:rsid w:val="00EA6D77"/>
    <w:rsid w:val="00EB044E"/>
    <w:rsid w:val="00EB04CF"/>
    <w:rsid w:val="00EC2ED9"/>
    <w:rsid w:val="00EC3346"/>
    <w:rsid w:val="00EC42F9"/>
    <w:rsid w:val="00ED2FD5"/>
    <w:rsid w:val="00ED53EA"/>
    <w:rsid w:val="00ED7253"/>
    <w:rsid w:val="00ED77DF"/>
    <w:rsid w:val="00EE0602"/>
    <w:rsid w:val="00EE206E"/>
    <w:rsid w:val="00EE7C5A"/>
    <w:rsid w:val="00EF18DA"/>
    <w:rsid w:val="00EF7BEC"/>
    <w:rsid w:val="00F0052E"/>
    <w:rsid w:val="00F01428"/>
    <w:rsid w:val="00F01623"/>
    <w:rsid w:val="00F01730"/>
    <w:rsid w:val="00F02771"/>
    <w:rsid w:val="00F04BBC"/>
    <w:rsid w:val="00F050C6"/>
    <w:rsid w:val="00F06898"/>
    <w:rsid w:val="00F12303"/>
    <w:rsid w:val="00F129C9"/>
    <w:rsid w:val="00F12EAD"/>
    <w:rsid w:val="00F1440C"/>
    <w:rsid w:val="00F16C28"/>
    <w:rsid w:val="00F20427"/>
    <w:rsid w:val="00F20C65"/>
    <w:rsid w:val="00F23B0D"/>
    <w:rsid w:val="00F33109"/>
    <w:rsid w:val="00F35796"/>
    <w:rsid w:val="00F40AD6"/>
    <w:rsid w:val="00F47D26"/>
    <w:rsid w:val="00F50606"/>
    <w:rsid w:val="00F60494"/>
    <w:rsid w:val="00F64E5D"/>
    <w:rsid w:val="00F668B7"/>
    <w:rsid w:val="00F710F9"/>
    <w:rsid w:val="00F7344F"/>
    <w:rsid w:val="00F73FEF"/>
    <w:rsid w:val="00F7412B"/>
    <w:rsid w:val="00F9058C"/>
    <w:rsid w:val="00F9315C"/>
    <w:rsid w:val="00F934EA"/>
    <w:rsid w:val="00F95CBB"/>
    <w:rsid w:val="00F95CF6"/>
    <w:rsid w:val="00FA11BE"/>
    <w:rsid w:val="00FB037B"/>
    <w:rsid w:val="00FB5186"/>
    <w:rsid w:val="00FB7E69"/>
    <w:rsid w:val="00FC0176"/>
    <w:rsid w:val="00FC0E30"/>
    <w:rsid w:val="00FC2634"/>
    <w:rsid w:val="00FC70BB"/>
    <w:rsid w:val="00FC7697"/>
    <w:rsid w:val="00FC7D01"/>
    <w:rsid w:val="00FD0976"/>
    <w:rsid w:val="00FD35C6"/>
    <w:rsid w:val="00FD59C0"/>
    <w:rsid w:val="00FE18AB"/>
    <w:rsid w:val="00FE2B99"/>
    <w:rsid w:val="00FE4C07"/>
    <w:rsid w:val="00FE51F6"/>
    <w:rsid w:val="00FE5684"/>
    <w:rsid w:val="00FE5865"/>
    <w:rsid w:val="00FE6A65"/>
    <w:rsid w:val="00FF0AF4"/>
    <w:rsid w:val="00FF26C3"/>
    <w:rsid w:val="00FF61C1"/>
    <w:rsid w:val="00FF7D1F"/>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51B8C1A"/>
  <w15:chartTrackingRefBased/>
  <w15:docId w15:val="{CEC99776-DD4F-4A94-8EB6-3B0626E0B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Cyrl-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C28"/>
    <w:pPr>
      <w:spacing w:after="180" w:line="274" w:lineRule="auto"/>
    </w:pPr>
    <w:rPr>
      <w:sz w:val="21"/>
    </w:rPr>
  </w:style>
  <w:style w:type="paragraph" w:styleId="Heading1">
    <w:name w:val="heading 1"/>
    <w:basedOn w:val="Normal"/>
    <w:next w:val="Normal"/>
    <w:link w:val="Heading1Char"/>
    <w:uiPriority w:val="9"/>
    <w:qFormat/>
    <w:rsid w:val="00F16C28"/>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Heading2">
    <w:name w:val="heading 2"/>
    <w:basedOn w:val="Normal"/>
    <w:next w:val="Normal"/>
    <w:link w:val="Heading2Char"/>
    <w:uiPriority w:val="9"/>
    <w:unhideWhenUsed/>
    <w:qFormat/>
    <w:rsid w:val="00F16C28"/>
    <w:pPr>
      <w:keepNext/>
      <w:keepLines/>
      <w:spacing w:before="120" w:after="0" w:line="240" w:lineRule="auto"/>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3F7EDC"/>
    <w:pPr>
      <w:keepNext/>
      <w:keepLines/>
      <w:spacing w:before="20" w:after="0" w:line="240" w:lineRule="auto"/>
      <w:jc w:val="both"/>
      <w:outlineLvl w:val="2"/>
    </w:pPr>
    <w:rPr>
      <w:rFonts w:asciiTheme="majorHAnsi" w:eastAsiaTheme="majorEastAsia" w:hAnsiTheme="majorHAnsi" w:cstheme="majorBidi"/>
      <w:bCs/>
      <w:color w:val="1F497D" w:themeColor="text2"/>
      <w:spacing w:val="14"/>
      <w:sz w:val="24"/>
    </w:rPr>
  </w:style>
  <w:style w:type="paragraph" w:styleId="Heading4">
    <w:name w:val="heading 4"/>
    <w:basedOn w:val="Normal"/>
    <w:next w:val="Normal"/>
    <w:link w:val="Heading4Char"/>
    <w:uiPriority w:val="9"/>
    <w:semiHidden/>
    <w:unhideWhenUsed/>
    <w:qFormat/>
    <w:rsid w:val="00F16C28"/>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F16C28"/>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F16C28"/>
    <w:pPr>
      <w:keepNext/>
      <w:keepLines/>
      <w:spacing w:before="200" w:after="0"/>
      <w:outlineLvl w:val="5"/>
    </w:pPr>
    <w:rPr>
      <w:rFonts w:asciiTheme="majorHAnsi" w:eastAsiaTheme="majorEastAsia" w:hAnsiTheme="majorHAnsi" w:cstheme="majorBidi"/>
      <w:iCs/>
      <w:color w:val="4F81BD" w:themeColor="accent1"/>
      <w:sz w:val="22"/>
    </w:rPr>
  </w:style>
  <w:style w:type="paragraph" w:styleId="Heading7">
    <w:name w:val="heading 7"/>
    <w:basedOn w:val="Normal"/>
    <w:next w:val="Normal"/>
    <w:link w:val="Heading7Char"/>
    <w:uiPriority w:val="9"/>
    <w:semiHidden/>
    <w:unhideWhenUsed/>
    <w:qFormat/>
    <w:rsid w:val="00F16C28"/>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F16C28"/>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16C28"/>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0949D3"/>
    <w:pPr>
      <w:spacing w:line="240" w:lineRule="exact"/>
    </w:pPr>
    <w:rPr>
      <w:rFonts w:ascii="Tahoma" w:eastAsia="Times New Roman" w:hAnsi="Tahoma"/>
      <w:sz w:val="20"/>
      <w:szCs w:val="20"/>
      <w:lang w:val="en-US"/>
    </w:rPr>
  </w:style>
  <w:style w:type="paragraph" w:customStyle="1" w:styleId="Char0">
    <w:name w:val="Char"/>
    <w:basedOn w:val="Normal"/>
    <w:semiHidden/>
    <w:rsid w:val="00084B16"/>
    <w:pPr>
      <w:spacing w:line="240" w:lineRule="exact"/>
    </w:pPr>
    <w:rPr>
      <w:rFonts w:ascii="Tahoma" w:eastAsia="Times New Roman" w:hAnsi="Tahoma"/>
      <w:sz w:val="20"/>
      <w:szCs w:val="20"/>
      <w:lang w:val="en-US"/>
    </w:rPr>
  </w:style>
  <w:style w:type="paragraph" w:styleId="Header">
    <w:name w:val="header"/>
    <w:aliases w:val=" Char2, Char1 Char"/>
    <w:basedOn w:val="Normal"/>
    <w:link w:val="HeaderChar"/>
    <w:uiPriority w:val="99"/>
    <w:rsid w:val="00C02450"/>
    <w:pPr>
      <w:tabs>
        <w:tab w:val="center" w:pos="4320"/>
        <w:tab w:val="right" w:pos="8640"/>
      </w:tabs>
      <w:spacing w:line="240" w:lineRule="auto"/>
    </w:pPr>
    <w:rPr>
      <w:rFonts w:ascii="Times New Roman" w:eastAsia="Times New Roman" w:hAnsi="Times New Roman"/>
      <w:sz w:val="20"/>
      <w:szCs w:val="20"/>
      <w:lang w:val="en-AU"/>
    </w:rPr>
  </w:style>
  <w:style w:type="character" w:customStyle="1" w:styleId="HeaderChar">
    <w:name w:val="Header Char"/>
    <w:aliases w:val=" Char2 Char, Char1 Char Char"/>
    <w:basedOn w:val="DefaultParagraphFont"/>
    <w:link w:val="Header"/>
    <w:uiPriority w:val="99"/>
    <w:rsid w:val="00C02450"/>
    <w:rPr>
      <w:rFonts w:ascii="Times New Roman" w:eastAsia="Times New Roman" w:hAnsi="Times New Roman" w:cs="Times New Roman"/>
      <w:sz w:val="20"/>
      <w:szCs w:val="20"/>
      <w:lang w:val="en-AU"/>
    </w:rPr>
  </w:style>
  <w:style w:type="paragraph" w:customStyle="1" w:styleId="Char1">
    <w:name w:val="Char"/>
    <w:basedOn w:val="Normal"/>
    <w:semiHidden/>
    <w:rsid w:val="00DD25D8"/>
    <w:pPr>
      <w:spacing w:line="240" w:lineRule="exact"/>
    </w:pPr>
    <w:rPr>
      <w:rFonts w:ascii="Tahoma" w:eastAsia="Times New Roman" w:hAnsi="Tahoma"/>
      <w:sz w:val="20"/>
      <w:szCs w:val="20"/>
      <w:lang w:val="en-US"/>
    </w:rPr>
  </w:style>
  <w:style w:type="paragraph" w:styleId="Footer">
    <w:name w:val="footer"/>
    <w:basedOn w:val="Normal"/>
    <w:link w:val="FooterChar"/>
    <w:uiPriority w:val="99"/>
    <w:unhideWhenUsed/>
    <w:rsid w:val="00063B31"/>
    <w:pPr>
      <w:tabs>
        <w:tab w:val="center" w:pos="4536"/>
        <w:tab w:val="right" w:pos="9072"/>
      </w:tabs>
      <w:spacing w:line="240" w:lineRule="auto"/>
    </w:pPr>
  </w:style>
  <w:style w:type="character" w:customStyle="1" w:styleId="FooterChar">
    <w:name w:val="Footer Char"/>
    <w:basedOn w:val="DefaultParagraphFont"/>
    <w:link w:val="Footer"/>
    <w:uiPriority w:val="99"/>
    <w:rsid w:val="00063B31"/>
  </w:style>
  <w:style w:type="character" w:styleId="CommentReference">
    <w:name w:val="annotation reference"/>
    <w:basedOn w:val="DefaultParagraphFont"/>
    <w:uiPriority w:val="99"/>
    <w:semiHidden/>
    <w:unhideWhenUsed/>
    <w:rsid w:val="00B47CFD"/>
    <w:rPr>
      <w:sz w:val="16"/>
      <w:szCs w:val="16"/>
    </w:rPr>
  </w:style>
  <w:style w:type="paragraph" w:styleId="CommentText">
    <w:name w:val="annotation text"/>
    <w:basedOn w:val="Normal"/>
    <w:link w:val="CommentTextChar"/>
    <w:uiPriority w:val="99"/>
    <w:unhideWhenUsed/>
    <w:rsid w:val="00B47CFD"/>
    <w:pPr>
      <w:spacing w:line="240" w:lineRule="auto"/>
    </w:pPr>
    <w:rPr>
      <w:sz w:val="20"/>
      <w:szCs w:val="20"/>
    </w:rPr>
  </w:style>
  <w:style w:type="character" w:customStyle="1" w:styleId="CommentTextChar">
    <w:name w:val="Comment Text Char"/>
    <w:basedOn w:val="DefaultParagraphFont"/>
    <w:link w:val="CommentText"/>
    <w:uiPriority w:val="99"/>
    <w:rsid w:val="00B47CFD"/>
    <w:rPr>
      <w:sz w:val="20"/>
      <w:szCs w:val="20"/>
    </w:rPr>
  </w:style>
  <w:style w:type="paragraph" w:styleId="CommentSubject">
    <w:name w:val="annotation subject"/>
    <w:basedOn w:val="CommentText"/>
    <w:next w:val="CommentText"/>
    <w:link w:val="CommentSubjectChar"/>
    <w:uiPriority w:val="99"/>
    <w:semiHidden/>
    <w:unhideWhenUsed/>
    <w:rsid w:val="00B47CFD"/>
    <w:rPr>
      <w:b/>
      <w:bCs/>
    </w:rPr>
  </w:style>
  <w:style w:type="character" w:customStyle="1" w:styleId="CommentSubjectChar">
    <w:name w:val="Comment Subject Char"/>
    <w:basedOn w:val="CommentTextChar"/>
    <w:link w:val="CommentSubject"/>
    <w:uiPriority w:val="99"/>
    <w:semiHidden/>
    <w:rsid w:val="00B47CFD"/>
    <w:rPr>
      <w:b/>
      <w:bCs/>
      <w:sz w:val="20"/>
      <w:szCs w:val="20"/>
    </w:rPr>
  </w:style>
  <w:style w:type="paragraph" w:styleId="BalloonText">
    <w:name w:val="Balloon Text"/>
    <w:basedOn w:val="Normal"/>
    <w:link w:val="BalloonTextChar"/>
    <w:uiPriority w:val="99"/>
    <w:semiHidden/>
    <w:unhideWhenUsed/>
    <w:rsid w:val="00B47CF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CFD"/>
    <w:rPr>
      <w:rFonts w:ascii="Segoe UI" w:hAnsi="Segoe UI" w:cs="Segoe UI"/>
      <w:sz w:val="18"/>
      <w:szCs w:val="18"/>
    </w:rPr>
  </w:style>
  <w:style w:type="numbering" w:customStyle="1" w:styleId="NoList1">
    <w:name w:val="No List1"/>
    <w:next w:val="NoList"/>
    <w:uiPriority w:val="99"/>
    <w:semiHidden/>
    <w:unhideWhenUsed/>
    <w:rsid w:val="00DD494B"/>
  </w:style>
  <w:style w:type="character" w:customStyle="1" w:styleId="Heading1Char">
    <w:name w:val="Heading 1 Char"/>
    <w:basedOn w:val="DefaultParagraphFont"/>
    <w:link w:val="Heading1"/>
    <w:uiPriority w:val="9"/>
    <w:rsid w:val="00F16C28"/>
    <w:rPr>
      <w:rFonts w:asciiTheme="majorHAnsi" w:eastAsiaTheme="majorEastAsia" w:hAnsiTheme="majorHAnsi" w:cstheme="majorBidi"/>
      <w:bCs/>
      <w:color w:val="4F81BD" w:themeColor="accent1"/>
      <w:spacing w:val="20"/>
      <w:sz w:val="32"/>
      <w:szCs w:val="28"/>
    </w:rPr>
  </w:style>
  <w:style w:type="paragraph" w:styleId="FootnoteText">
    <w:name w:val="footnote text"/>
    <w:basedOn w:val="Normal"/>
    <w:link w:val="FootnoteTextChar"/>
    <w:uiPriority w:val="99"/>
    <w:unhideWhenUsed/>
    <w:rsid w:val="00C32CFC"/>
    <w:pPr>
      <w:spacing w:line="240" w:lineRule="auto"/>
    </w:pPr>
    <w:rPr>
      <w:sz w:val="20"/>
      <w:szCs w:val="20"/>
    </w:rPr>
  </w:style>
  <w:style w:type="character" w:customStyle="1" w:styleId="FootnoteTextChar">
    <w:name w:val="Footnote Text Char"/>
    <w:basedOn w:val="DefaultParagraphFont"/>
    <w:link w:val="FootnoteText"/>
    <w:uiPriority w:val="99"/>
    <w:rsid w:val="00C32CFC"/>
    <w:rPr>
      <w:sz w:val="20"/>
      <w:szCs w:val="20"/>
    </w:rPr>
  </w:style>
  <w:style w:type="character" w:styleId="FootnoteReference">
    <w:name w:val="footnote reference"/>
    <w:basedOn w:val="DefaultParagraphFont"/>
    <w:uiPriority w:val="99"/>
    <w:semiHidden/>
    <w:unhideWhenUsed/>
    <w:rsid w:val="00C32CFC"/>
    <w:rPr>
      <w:vertAlign w:val="superscript"/>
    </w:rPr>
  </w:style>
  <w:style w:type="paragraph" w:styleId="ListParagraph">
    <w:name w:val="List Paragraph"/>
    <w:basedOn w:val="Normal"/>
    <w:uiPriority w:val="34"/>
    <w:qFormat/>
    <w:rsid w:val="00F16C28"/>
    <w:pPr>
      <w:spacing w:line="240" w:lineRule="auto"/>
      <w:ind w:left="720" w:hanging="288"/>
      <w:contextualSpacing/>
    </w:pPr>
    <w:rPr>
      <w:color w:val="1F497D" w:themeColor="text2"/>
    </w:rPr>
  </w:style>
  <w:style w:type="character" w:customStyle="1" w:styleId="Heading2Char">
    <w:name w:val="Heading 2 Char"/>
    <w:basedOn w:val="DefaultParagraphFont"/>
    <w:link w:val="Heading2"/>
    <w:uiPriority w:val="9"/>
    <w:rsid w:val="00F16C28"/>
    <w:rPr>
      <w:rFonts w:eastAsiaTheme="majorEastAsia" w:cstheme="majorBidi"/>
      <w:b/>
      <w:bCs/>
      <w:color w:val="4F81BD" w:themeColor="accent1"/>
      <w:sz w:val="28"/>
      <w:szCs w:val="26"/>
    </w:rPr>
  </w:style>
  <w:style w:type="table" w:customStyle="1" w:styleId="GridTable4-Accent511">
    <w:name w:val="Grid Table 4 - Accent 511"/>
    <w:basedOn w:val="TableNormal"/>
    <w:uiPriority w:val="49"/>
    <w:rsid w:val="005471F9"/>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1">
    <w:name w:val="Grid Table 4 - Accent 51"/>
    <w:basedOn w:val="TableNormal"/>
    <w:next w:val="GridTable4-Accent5"/>
    <w:uiPriority w:val="49"/>
    <w:rsid w:val="005471F9"/>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5">
    <w:name w:val="Grid Table 4 Accent 5"/>
    <w:basedOn w:val="TableNormal"/>
    <w:uiPriority w:val="49"/>
    <w:rsid w:val="005471F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Revision">
    <w:name w:val="Revision"/>
    <w:hidden/>
    <w:uiPriority w:val="99"/>
    <w:semiHidden/>
    <w:rsid w:val="00F33109"/>
    <w:pPr>
      <w:spacing w:after="0" w:line="240" w:lineRule="auto"/>
    </w:pPr>
    <w:rPr>
      <w:rFonts w:ascii="Gill Sans MT" w:eastAsia="Calibri" w:hAnsi="Gill Sans MT" w:cs="Times New Roman"/>
      <w:bCs/>
      <w:szCs w:val="24"/>
      <w:lang w:val="bs-Latn-BA"/>
    </w:rPr>
  </w:style>
  <w:style w:type="table" w:styleId="LightShading-Accent1">
    <w:name w:val="Light Shading Accent 1"/>
    <w:basedOn w:val="TableNormal"/>
    <w:uiPriority w:val="60"/>
    <w:semiHidden/>
    <w:unhideWhenUsed/>
    <w:rsid w:val="00F33109"/>
    <w:pPr>
      <w:spacing w:after="0" w:line="240" w:lineRule="auto"/>
    </w:pPr>
    <w:rPr>
      <w:rFonts w:ascii="Times New Roman" w:eastAsia="Times New Roman" w:hAnsi="Times New Roman" w:cs="Times New Roman"/>
      <w:color w:val="365F91" w:themeColor="accent1" w:themeShade="BF"/>
      <w:sz w:val="20"/>
      <w:szCs w:val="20"/>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Subtitle">
    <w:name w:val="Subtitle"/>
    <w:basedOn w:val="Normal"/>
    <w:next w:val="Normal"/>
    <w:link w:val="SubtitleChar"/>
    <w:uiPriority w:val="11"/>
    <w:qFormat/>
    <w:rsid w:val="00F16C28"/>
    <w:pPr>
      <w:numPr>
        <w:ilvl w:val="1"/>
      </w:numPr>
    </w:pPr>
    <w:rPr>
      <w:rFonts w:eastAsiaTheme="majorEastAsia" w:cstheme="majorBidi"/>
      <w:iCs/>
      <w:color w:val="1F497D" w:themeColor="text2"/>
      <w:sz w:val="40"/>
      <w:szCs w:val="24"/>
    </w:rPr>
  </w:style>
  <w:style w:type="character" w:customStyle="1" w:styleId="SubtitleChar">
    <w:name w:val="Subtitle Char"/>
    <w:basedOn w:val="DefaultParagraphFont"/>
    <w:link w:val="Subtitle"/>
    <w:uiPriority w:val="11"/>
    <w:rsid w:val="00F16C28"/>
    <w:rPr>
      <w:rFonts w:eastAsiaTheme="majorEastAsia" w:cstheme="majorBidi"/>
      <w:iCs/>
      <w:color w:val="1F497D" w:themeColor="text2"/>
      <w:sz w:val="40"/>
      <w:szCs w:val="24"/>
    </w:rPr>
  </w:style>
  <w:style w:type="paragraph" w:customStyle="1" w:styleId="PersonalName">
    <w:name w:val="Personal Name"/>
    <w:basedOn w:val="Title"/>
    <w:qFormat/>
    <w:rsid w:val="00F16C28"/>
    <w:rPr>
      <w:b/>
      <w:caps/>
      <w:color w:val="000000"/>
      <w:sz w:val="28"/>
      <w:szCs w:val="28"/>
    </w:rPr>
  </w:style>
  <w:style w:type="paragraph" w:styleId="Title">
    <w:name w:val="Title"/>
    <w:basedOn w:val="Normal"/>
    <w:next w:val="Normal"/>
    <w:link w:val="TitleChar"/>
    <w:uiPriority w:val="10"/>
    <w:qFormat/>
    <w:rsid w:val="00F16C28"/>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TitleChar">
    <w:name w:val="Title Char"/>
    <w:basedOn w:val="DefaultParagraphFont"/>
    <w:link w:val="Title"/>
    <w:uiPriority w:val="10"/>
    <w:rsid w:val="00F16C28"/>
    <w:rPr>
      <w:rFonts w:asciiTheme="majorHAnsi" w:eastAsiaTheme="majorEastAsia" w:hAnsiTheme="majorHAnsi" w:cstheme="majorBidi"/>
      <w:color w:val="1F497D" w:themeColor="text2"/>
      <w:spacing w:val="30"/>
      <w:kern w:val="28"/>
      <w:sz w:val="96"/>
      <w:szCs w:val="52"/>
    </w:rPr>
  </w:style>
  <w:style w:type="character" w:customStyle="1" w:styleId="Heading3Char">
    <w:name w:val="Heading 3 Char"/>
    <w:basedOn w:val="DefaultParagraphFont"/>
    <w:link w:val="Heading3"/>
    <w:uiPriority w:val="9"/>
    <w:rsid w:val="003F7EDC"/>
    <w:rPr>
      <w:rFonts w:asciiTheme="majorHAnsi" w:eastAsiaTheme="majorEastAsia" w:hAnsiTheme="majorHAnsi" w:cstheme="majorBidi"/>
      <w:bCs/>
      <w:color w:val="1F497D" w:themeColor="text2"/>
      <w:spacing w:val="14"/>
      <w:sz w:val="24"/>
    </w:rPr>
  </w:style>
  <w:style w:type="character" w:customStyle="1" w:styleId="Heading4Char">
    <w:name w:val="Heading 4 Char"/>
    <w:basedOn w:val="DefaultParagraphFont"/>
    <w:link w:val="Heading4"/>
    <w:uiPriority w:val="9"/>
    <w:semiHidden/>
    <w:rsid w:val="00F16C28"/>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F16C28"/>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16C28"/>
    <w:rPr>
      <w:rFonts w:asciiTheme="majorHAnsi" w:eastAsiaTheme="majorEastAsia" w:hAnsiTheme="majorHAnsi" w:cstheme="majorBidi"/>
      <w:iCs/>
      <w:color w:val="4F81BD" w:themeColor="accent1"/>
    </w:rPr>
  </w:style>
  <w:style w:type="character" w:customStyle="1" w:styleId="Heading7Char">
    <w:name w:val="Heading 7 Char"/>
    <w:basedOn w:val="DefaultParagraphFont"/>
    <w:link w:val="Heading7"/>
    <w:uiPriority w:val="9"/>
    <w:semiHidden/>
    <w:rsid w:val="00F16C28"/>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16C28"/>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16C28"/>
    <w:rPr>
      <w:rFonts w:asciiTheme="majorHAnsi" w:eastAsiaTheme="majorEastAsia" w:hAnsiTheme="majorHAnsi" w:cstheme="majorBidi"/>
      <w:i/>
      <w:iCs/>
      <w:color w:val="000000"/>
      <w:sz w:val="20"/>
      <w:szCs w:val="20"/>
    </w:rPr>
  </w:style>
  <w:style w:type="paragraph" w:styleId="Caption">
    <w:name w:val="caption"/>
    <w:basedOn w:val="Normal"/>
    <w:next w:val="Normal"/>
    <w:uiPriority w:val="35"/>
    <w:unhideWhenUsed/>
    <w:qFormat/>
    <w:rsid w:val="00F16C28"/>
    <w:pPr>
      <w:spacing w:line="240" w:lineRule="auto"/>
    </w:pPr>
    <w:rPr>
      <w:rFonts w:asciiTheme="majorHAnsi" w:eastAsiaTheme="minorEastAsia" w:hAnsiTheme="majorHAnsi"/>
      <w:bCs/>
      <w:smallCaps/>
      <w:color w:val="1F497D" w:themeColor="text2"/>
      <w:spacing w:val="6"/>
      <w:sz w:val="22"/>
      <w:szCs w:val="18"/>
    </w:rPr>
  </w:style>
  <w:style w:type="character" w:styleId="Strong">
    <w:name w:val="Strong"/>
    <w:basedOn w:val="DefaultParagraphFont"/>
    <w:uiPriority w:val="22"/>
    <w:qFormat/>
    <w:rsid w:val="00F16C28"/>
    <w:rPr>
      <w:b w:val="0"/>
      <w:bCs/>
      <w:i/>
      <w:color w:val="1F497D" w:themeColor="text2"/>
    </w:rPr>
  </w:style>
  <w:style w:type="character" w:styleId="Emphasis">
    <w:name w:val="Emphasis"/>
    <w:basedOn w:val="DefaultParagraphFont"/>
    <w:uiPriority w:val="20"/>
    <w:qFormat/>
    <w:rsid w:val="00F16C28"/>
    <w:rPr>
      <w:b/>
      <w:i/>
      <w:iCs/>
    </w:rPr>
  </w:style>
  <w:style w:type="paragraph" w:styleId="NoSpacing">
    <w:name w:val="No Spacing"/>
    <w:link w:val="NoSpacingChar"/>
    <w:uiPriority w:val="1"/>
    <w:qFormat/>
    <w:rsid w:val="00F16C28"/>
    <w:pPr>
      <w:spacing w:after="0" w:line="240" w:lineRule="auto"/>
    </w:pPr>
  </w:style>
  <w:style w:type="character" w:customStyle="1" w:styleId="NoSpacingChar">
    <w:name w:val="No Spacing Char"/>
    <w:basedOn w:val="DefaultParagraphFont"/>
    <w:link w:val="NoSpacing"/>
    <w:uiPriority w:val="1"/>
    <w:rsid w:val="00F16C28"/>
  </w:style>
  <w:style w:type="paragraph" w:styleId="Quote">
    <w:name w:val="Quote"/>
    <w:basedOn w:val="Normal"/>
    <w:next w:val="Normal"/>
    <w:link w:val="QuoteChar"/>
    <w:uiPriority w:val="29"/>
    <w:qFormat/>
    <w:rsid w:val="00F16C28"/>
    <w:pPr>
      <w:spacing w:after="0" w:line="360" w:lineRule="auto"/>
      <w:jc w:val="center"/>
    </w:pPr>
    <w:rPr>
      <w:rFonts w:eastAsiaTheme="minorEastAsia"/>
      <w:b/>
      <w:i/>
      <w:iCs/>
      <w:color w:val="4F81BD" w:themeColor="accent1"/>
      <w:sz w:val="26"/>
    </w:rPr>
  </w:style>
  <w:style w:type="character" w:customStyle="1" w:styleId="QuoteChar">
    <w:name w:val="Quote Char"/>
    <w:basedOn w:val="DefaultParagraphFont"/>
    <w:link w:val="Quote"/>
    <w:uiPriority w:val="29"/>
    <w:rsid w:val="00F16C28"/>
    <w:rPr>
      <w:rFonts w:eastAsiaTheme="minorEastAsia"/>
      <w:b/>
      <w:i/>
      <w:iCs/>
      <w:color w:val="4F81BD" w:themeColor="accent1"/>
      <w:sz w:val="26"/>
    </w:rPr>
  </w:style>
  <w:style w:type="paragraph" w:styleId="IntenseQuote">
    <w:name w:val="Intense Quote"/>
    <w:basedOn w:val="Normal"/>
    <w:next w:val="Normal"/>
    <w:link w:val="IntenseQuoteChar"/>
    <w:uiPriority w:val="30"/>
    <w:qFormat/>
    <w:rsid w:val="00F16C28"/>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F16C28"/>
    <w:rPr>
      <w:rFonts w:asciiTheme="majorHAnsi" w:eastAsiaTheme="minorEastAsia" w:hAnsiTheme="majorHAnsi"/>
      <w:bCs/>
      <w:iCs/>
      <w:color w:val="FFFFFF" w:themeColor="background1"/>
      <w:sz w:val="28"/>
      <w:shd w:val="clear" w:color="auto" w:fill="4F81BD" w:themeFill="accent1"/>
    </w:rPr>
  </w:style>
  <w:style w:type="character" w:styleId="SubtleEmphasis">
    <w:name w:val="Subtle Emphasis"/>
    <w:basedOn w:val="DefaultParagraphFont"/>
    <w:uiPriority w:val="19"/>
    <w:qFormat/>
    <w:rsid w:val="00F16C28"/>
    <w:rPr>
      <w:i/>
      <w:iCs/>
      <w:color w:val="000000"/>
    </w:rPr>
  </w:style>
  <w:style w:type="character" w:styleId="IntenseEmphasis">
    <w:name w:val="Intense Emphasis"/>
    <w:basedOn w:val="DefaultParagraphFont"/>
    <w:uiPriority w:val="21"/>
    <w:qFormat/>
    <w:rsid w:val="00F16C28"/>
    <w:rPr>
      <w:b/>
      <w:bCs/>
      <w:i/>
      <w:iCs/>
      <w:color w:val="4F81BD" w:themeColor="accent1"/>
    </w:rPr>
  </w:style>
  <w:style w:type="character" w:styleId="SubtleReference">
    <w:name w:val="Subtle Reference"/>
    <w:basedOn w:val="DefaultParagraphFont"/>
    <w:uiPriority w:val="31"/>
    <w:qFormat/>
    <w:rsid w:val="00F16C28"/>
    <w:rPr>
      <w:smallCaps/>
      <w:color w:val="000000"/>
      <w:u w:val="single"/>
    </w:rPr>
  </w:style>
  <w:style w:type="character" w:styleId="IntenseReference">
    <w:name w:val="Intense Reference"/>
    <w:basedOn w:val="DefaultParagraphFont"/>
    <w:uiPriority w:val="32"/>
    <w:qFormat/>
    <w:rsid w:val="00F16C28"/>
    <w:rPr>
      <w:b w:val="0"/>
      <w:bCs/>
      <w:smallCaps/>
      <w:color w:val="4F81BD" w:themeColor="accent1"/>
      <w:spacing w:val="5"/>
      <w:u w:val="single"/>
    </w:rPr>
  </w:style>
  <w:style w:type="character" w:styleId="BookTitle">
    <w:name w:val="Book Title"/>
    <w:basedOn w:val="DefaultParagraphFont"/>
    <w:uiPriority w:val="33"/>
    <w:qFormat/>
    <w:rsid w:val="00F16C28"/>
    <w:rPr>
      <w:b/>
      <w:bCs/>
      <w:caps/>
      <w:smallCaps w:val="0"/>
      <w:color w:val="1F497D" w:themeColor="text2"/>
      <w:spacing w:val="10"/>
    </w:rPr>
  </w:style>
  <w:style w:type="paragraph" w:styleId="TOCHeading">
    <w:name w:val="TOC Heading"/>
    <w:basedOn w:val="Heading1"/>
    <w:next w:val="Normal"/>
    <w:uiPriority w:val="39"/>
    <w:unhideWhenUsed/>
    <w:qFormat/>
    <w:rsid w:val="00F16C28"/>
    <w:pPr>
      <w:spacing w:before="480" w:line="264" w:lineRule="auto"/>
      <w:outlineLvl w:val="9"/>
    </w:pPr>
    <w:rPr>
      <w:b/>
    </w:rPr>
  </w:style>
  <w:style w:type="table" w:styleId="TableGrid">
    <w:name w:val="Table Grid"/>
    <w:basedOn w:val="TableNormal"/>
    <w:uiPriority w:val="59"/>
    <w:rsid w:val="00ED7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9069A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PageNumber">
    <w:name w:val="page number"/>
    <w:basedOn w:val="DefaultParagraphFont"/>
    <w:uiPriority w:val="99"/>
    <w:semiHidden/>
    <w:unhideWhenUsed/>
    <w:rsid w:val="00422053"/>
  </w:style>
  <w:style w:type="paragraph" w:styleId="TOC1">
    <w:name w:val="toc 1"/>
    <w:basedOn w:val="Normal"/>
    <w:next w:val="Normal"/>
    <w:autoRedefine/>
    <w:uiPriority w:val="39"/>
    <w:unhideWhenUsed/>
    <w:rsid w:val="00607C1F"/>
    <w:pPr>
      <w:spacing w:before="120" w:after="0"/>
    </w:pPr>
    <w:rPr>
      <w:rFonts w:cstheme="minorHAnsi"/>
      <w:b/>
      <w:bCs/>
      <w:i/>
      <w:iCs/>
      <w:sz w:val="24"/>
      <w:szCs w:val="24"/>
    </w:rPr>
  </w:style>
  <w:style w:type="paragraph" w:styleId="TOC2">
    <w:name w:val="toc 2"/>
    <w:basedOn w:val="Normal"/>
    <w:next w:val="Normal"/>
    <w:autoRedefine/>
    <w:uiPriority w:val="39"/>
    <w:unhideWhenUsed/>
    <w:rsid w:val="00607C1F"/>
    <w:pPr>
      <w:tabs>
        <w:tab w:val="right" w:leader="dot" w:pos="9062"/>
      </w:tabs>
      <w:spacing w:before="120" w:after="0"/>
      <w:ind w:left="210"/>
    </w:pPr>
    <w:rPr>
      <w:rFonts w:cstheme="minorHAnsi"/>
      <w:b/>
      <w:bCs/>
      <w:sz w:val="22"/>
    </w:rPr>
  </w:style>
  <w:style w:type="paragraph" w:styleId="TOC3">
    <w:name w:val="toc 3"/>
    <w:basedOn w:val="Normal"/>
    <w:next w:val="Normal"/>
    <w:autoRedefine/>
    <w:uiPriority w:val="39"/>
    <w:unhideWhenUsed/>
    <w:rsid w:val="00607C1F"/>
    <w:pPr>
      <w:spacing w:after="0"/>
      <w:ind w:left="420"/>
    </w:pPr>
    <w:rPr>
      <w:rFonts w:cstheme="minorHAnsi"/>
      <w:sz w:val="20"/>
      <w:szCs w:val="20"/>
    </w:rPr>
  </w:style>
  <w:style w:type="character" w:styleId="Hyperlink">
    <w:name w:val="Hyperlink"/>
    <w:basedOn w:val="DefaultParagraphFont"/>
    <w:uiPriority w:val="99"/>
    <w:unhideWhenUsed/>
    <w:rsid w:val="00607C1F"/>
    <w:rPr>
      <w:color w:val="0000FF" w:themeColor="hyperlink"/>
      <w:u w:val="single"/>
    </w:rPr>
  </w:style>
  <w:style w:type="paragraph" w:styleId="TOC4">
    <w:name w:val="toc 4"/>
    <w:basedOn w:val="Normal"/>
    <w:next w:val="Normal"/>
    <w:autoRedefine/>
    <w:uiPriority w:val="39"/>
    <w:semiHidden/>
    <w:unhideWhenUsed/>
    <w:rsid w:val="00607C1F"/>
    <w:pPr>
      <w:spacing w:after="0"/>
      <w:ind w:left="630"/>
    </w:pPr>
    <w:rPr>
      <w:rFonts w:cstheme="minorHAnsi"/>
      <w:sz w:val="20"/>
      <w:szCs w:val="20"/>
    </w:rPr>
  </w:style>
  <w:style w:type="paragraph" w:styleId="TOC5">
    <w:name w:val="toc 5"/>
    <w:basedOn w:val="Normal"/>
    <w:next w:val="Normal"/>
    <w:autoRedefine/>
    <w:uiPriority w:val="39"/>
    <w:semiHidden/>
    <w:unhideWhenUsed/>
    <w:rsid w:val="00607C1F"/>
    <w:pPr>
      <w:spacing w:after="0"/>
      <w:ind w:left="840"/>
    </w:pPr>
    <w:rPr>
      <w:rFonts w:cstheme="minorHAnsi"/>
      <w:sz w:val="20"/>
      <w:szCs w:val="20"/>
    </w:rPr>
  </w:style>
  <w:style w:type="paragraph" w:styleId="TOC6">
    <w:name w:val="toc 6"/>
    <w:basedOn w:val="Normal"/>
    <w:next w:val="Normal"/>
    <w:autoRedefine/>
    <w:uiPriority w:val="39"/>
    <w:semiHidden/>
    <w:unhideWhenUsed/>
    <w:rsid w:val="00607C1F"/>
    <w:pPr>
      <w:spacing w:after="0"/>
      <w:ind w:left="1050"/>
    </w:pPr>
    <w:rPr>
      <w:rFonts w:cstheme="minorHAnsi"/>
      <w:sz w:val="20"/>
      <w:szCs w:val="20"/>
    </w:rPr>
  </w:style>
  <w:style w:type="paragraph" w:styleId="TOC7">
    <w:name w:val="toc 7"/>
    <w:basedOn w:val="Normal"/>
    <w:next w:val="Normal"/>
    <w:autoRedefine/>
    <w:uiPriority w:val="39"/>
    <w:semiHidden/>
    <w:unhideWhenUsed/>
    <w:rsid w:val="00607C1F"/>
    <w:pPr>
      <w:spacing w:after="0"/>
      <w:ind w:left="1260"/>
    </w:pPr>
    <w:rPr>
      <w:rFonts w:cstheme="minorHAnsi"/>
      <w:sz w:val="20"/>
      <w:szCs w:val="20"/>
    </w:rPr>
  </w:style>
  <w:style w:type="paragraph" w:styleId="TOC8">
    <w:name w:val="toc 8"/>
    <w:basedOn w:val="Normal"/>
    <w:next w:val="Normal"/>
    <w:autoRedefine/>
    <w:uiPriority w:val="39"/>
    <w:semiHidden/>
    <w:unhideWhenUsed/>
    <w:rsid w:val="00607C1F"/>
    <w:pPr>
      <w:spacing w:after="0"/>
      <w:ind w:left="1470"/>
    </w:pPr>
    <w:rPr>
      <w:rFonts w:cstheme="minorHAnsi"/>
      <w:sz w:val="20"/>
      <w:szCs w:val="20"/>
    </w:rPr>
  </w:style>
  <w:style w:type="paragraph" w:styleId="TOC9">
    <w:name w:val="toc 9"/>
    <w:basedOn w:val="Normal"/>
    <w:next w:val="Normal"/>
    <w:autoRedefine/>
    <w:uiPriority w:val="39"/>
    <w:semiHidden/>
    <w:unhideWhenUsed/>
    <w:rsid w:val="00607C1F"/>
    <w:pPr>
      <w:spacing w:after="0"/>
      <w:ind w:left="1680"/>
    </w:pPr>
    <w:rPr>
      <w:rFonts w:cstheme="minorHAnsi"/>
      <w:sz w:val="20"/>
      <w:szCs w:val="20"/>
    </w:rPr>
  </w:style>
  <w:style w:type="table" w:styleId="GridTable2">
    <w:name w:val="Grid Table 2"/>
    <w:basedOn w:val="TableNormal"/>
    <w:uiPriority w:val="47"/>
    <w:rsid w:val="005E25C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5E25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5E25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efaultParagraphFont"/>
    <w:uiPriority w:val="99"/>
    <w:rsid w:val="00175F83"/>
    <w:rPr>
      <w:color w:val="605E5C"/>
      <w:shd w:val="clear" w:color="auto" w:fill="E1DFDD"/>
    </w:rPr>
  </w:style>
  <w:style w:type="paragraph" w:styleId="NormalWeb">
    <w:name w:val="Normal (Web)"/>
    <w:basedOn w:val="Normal"/>
    <w:uiPriority w:val="99"/>
    <w:semiHidden/>
    <w:unhideWhenUsed/>
    <w:rsid w:val="007F1AD4"/>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Tekst">
    <w:name w:val="Tekst"/>
    <w:basedOn w:val="NormalWeb"/>
    <w:link w:val="TekstChar"/>
    <w:qFormat/>
    <w:rsid w:val="00BD41C1"/>
    <w:pPr>
      <w:spacing w:before="80" w:beforeAutospacing="0" w:after="0" w:afterAutospacing="0"/>
      <w:jc w:val="both"/>
    </w:pPr>
    <w:rPr>
      <w:rFonts w:ascii="Arial" w:hAnsi="Arial" w:cs="Tahoma"/>
      <w:sz w:val="22"/>
      <w:lang w:val="en-GB" w:eastAsia="en-US"/>
    </w:rPr>
  </w:style>
  <w:style w:type="character" w:customStyle="1" w:styleId="TekstChar">
    <w:name w:val="Tekst Char"/>
    <w:basedOn w:val="DefaultParagraphFont"/>
    <w:link w:val="Tekst"/>
    <w:rsid w:val="00BD41C1"/>
    <w:rPr>
      <w:rFonts w:ascii="Arial" w:eastAsia="Times New Roman" w:hAnsi="Arial" w:cs="Tahoma"/>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55952">
      <w:bodyDiv w:val="1"/>
      <w:marLeft w:val="0"/>
      <w:marRight w:val="0"/>
      <w:marTop w:val="0"/>
      <w:marBottom w:val="0"/>
      <w:divBdr>
        <w:top w:val="none" w:sz="0" w:space="0" w:color="auto"/>
        <w:left w:val="none" w:sz="0" w:space="0" w:color="auto"/>
        <w:bottom w:val="none" w:sz="0" w:space="0" w:color="auto"/>
        <w:right w:val="none" w:sz="0" w:space="0" w:color="auto"/>
      </w:divBdr>
    </w:div>
    <w:div w:id="127943250">
      <w:bodyDiv w:val="1"/>
      <w:marLeft w:val="0"/>
      <w:marRight w:val="0"/>
      <w:marTop w:val="0"/>
      <w:marBottom w:val="0"/>
      <w:divBdr>
        <w:top w:val="none" w:sz="0" w:space="0" w:color="auto"/>
        <w:left w:val="none" w:sz="0" w:space="0" w:color="auto"/>
        <w:bottom w:val="none" w:sz="0" w:space="0" w:color="auto"/>
        <w:right w:val="none" w:sz="0" w:space="0" w:color="auto"/>
      </w:divBdr>
    </w:div>
    <w:div w:id="405106600">
      <w:bodyDiv w:val="1"/>
      <w:marLeft w:val="0"/>
      <w:marRight w:val="0"/>
      <w:marTop w:val="0"/>
      <w:marBottom w:val="0"/>
      <w:divBdr>
        <w:top w:val="none" w:sz="0" w:space="0" w:color="auto"/>
        <w:left w:val="none" w:sz="0" w:space="0" w:color="auto"/>
        <w:bottom w:val="none" w:sz="0" w:space="0" w:color="auto"/>
        <w:right w:val="none" w:sz="0" w:space="0" w:color="auto"/>
      </w:divBdr>
    </w:div>
    <w:div w:id="599416562">
      <w:bodyDiv w:val="1"/>
      <w:marLeft w:val="0"/>
      <w:marRight w:val="0"/>
      <w:marTop w:val="0"/>
      <w:marBottom w:val="0"/>
      <w:divBdr>
        <w:top w:val="none" w:sz="0" w:space="0" w:color="auto"/>
        <w:left w:val="none" w:sz="0" w:space="0" w:color="auto"/>
        <w:bottom w:val="none" w:sz="0" w:space="0" w:color="auto"/>
        <w:right w:val="none" w:sz="0" w:space="0" w:color="auto"/>
      </w:divBdr>
    </w:div>
    <w:div w:id="659193398">
      <w:bodyDiv w:val="1"/>
      <w:marLeft w:val="0"/>
      <w:marRight w:val="0"/>
      <w:marTop w:val="0"/>
      <w:marBottom w:val="0"/>
      <w:divBdr>
        <w:top w:val="none" w:sz="0" w:space="0" w:color="auto"/>
        <w:left w:val="none" w:sz="0" w:space="0" w:color="auto"/>
        <w:bottom w:val="none" w:sz="0" w:space="0" w:color="auto"/>
        <w:right w:val="none" w:sz="0" w:space="0" w:color="auto"/>
      </w:divBdr>
    </w:div>
    <w:div w:id="826896308">
      <w:bodyDiv w:val="1"/>
      <w:marLeft w:val="0"/>
      <w:marRight w:val="0"/>
      <w:marTop w:val="0"/>
      <w:marBottom w:val="0"/>
      <w:divBdr>
        <w:top w:val="none" w:sz="0" w:space="0" w:color="auto"/>
        <w:left w:val="none" w:sz="0" w:space="0" w:color="auto"/>
        <w:bottom w:val="none" w:sz="0" w:space="0" w:color="auto"/>
        <w:right w:val="none" w:sz="0" w:space="0" w:color="auto"/>
      </w:divBdr>
    </w:div>
    <w:div w:id="874465409">
      <w:bodyDiv w:val="1"/>
      <w:marLeft w:val="0"/>
      <w:marRight w:val="0"/>
      <w:marTop w:val="0"/>
      <w:marBottom w:val="0"/>
      <w:divBdr>
        <w:top w:val="none" w:sz="0" w:space="0" w:color="auto"/>
        <w:left w:val="none" w:sz="0" w:space="0" w:color="auto"/>
        <w:bottom w:val="none" w:sz="0" w:space="0" w:color="auto"/>
        <w:right w:val="none" w:sz="0" w:space="0" w:color="auto"/>
      </w:divBdr>
    </w:div>
    <w:div w:id="991829347">
      <w:bodyDiv w:val="1"/>
      <w:marLeft w:val="0"/>
      <w:marRight w:val="0"/>
      <w:marTop w:val="0"/>
      <w:marBottom w:val="0"/>
      <w:divBdr>
        <w:top w:val="none" w:sz="0" w:space="0" w:color="auto"/>
        <w:left w:val="none" w:sz="0" w:space="0" w:color="auto"/>
        <w:bottom w:val="none" w:sz="0" w:space="0" w:color="auto"/>
        <w:right w:val="none" w:sz="0" w:space="0" w:color="auto"/>
      </w:divBdr>
    </w:div>
    <w:div w:id="1052579337">
      <w:bodyDiv w:val="1"/>
      <w:marLeft w:val="0"/>
      <w:marRight w:val="0"/>
      <w:marTop w:val="0"/>
      <w:marBottom w:val="0"/>
      <w:divBdr>
        <w:top w:val="none" w:sz="0" w:space="0" w:color="auto"/>
        <w:left w:val="none" w:sz="0" w:space="0" w:color="auto"/>
        <w:bottom w:val="none" w:sz="0" w:space="0" w:color="auto"/>
        <w:right w:val="none" w:sz="0" w:space="0" w:color="auto"/>
      </w:divBdr>
    </w:div>
    <w:div w:id="1123573077">
      <w:bodyDiv w:val="1"/>
      <w:marLeft w:val="0"/>
      <w:marRight w:val="0"/>
      <w:marTop w:val="0"/>
      <w:marBottom w:val="0"/>
      <w:divBdr>
        <w:top w:val="none" w:sz="0" w:space="0" w:color="auto"/>
        <w:left w:val="none" w:sz="0" w:space="0" w:color="auto"/>
        <w:bottom w:val="none" w:sz="0" w:space="0" w:color="auto"/>
        <w:right w:val="none" w:sz="0" w:space="0" w:color="auto"/>
      </w:divBdr>
    </w:div>
    <w:div w:id="1160661225">
      <w:bodyDiv w:val="1"/>
      <w:marLeft w:val="0"/>
      <w:marRight w:val="0"/>
      <w:marTop w:val="0"/>
      <w:marBottom w:val="0"/>
      <w:divBdr>
        <w:top w:val="none" w:sz="0" w:space="0" w:color="auto"/>
        <w:left w:val="none" w:sz="0" w:space="0" w:color="auto"/>
        <w:bottom w:val="none" w:sz="0" w:space="0" w:color="auto"/>
        <w:right w:val="none" w:sz="0" w:space="0" w:color="auto"/>
      </w:divBdr>
    </w:div>
    <w:div w:id="1188909495">
      <w:bodyDiv w:val="1"/>
      <w:marLeft w:val="0"/>
      <w:marRight w:val="0"/>
      <w:marTop w:val="0"/>
      <w:marBottom w:val="0"/>
      <w:divBdr>
        <w:top w:val="none" w:sz="0" w:space="0" w:color="auto"/>
        <w:left w:val="none" w:sz="0" w:space="0" w:color="auto"/>
        <w:bottom w:val="none" w:sz="0" w:space="0" w:color="auto"/>
        <w:right w:val="none" w:sz="0" w:space="0" w:color="auto"/>
      </w:divBdr>
    </w:div>
    <w:div w:id="1287735833">
      <w:bodyDiv w:val="1"/>
      <w:marLeft w:val="0"/>
      <w:marRight w:val="0"/>
      <w:marTop w:val="0"/>
      <w:marBottom w:val="0"/>
      <w:divBdr>
        <w:top w:val="none" w:sz="0" w:space="0" w:color="auto"/>
        <w:left w:val="none" w:sz="0" w:space="0" w:color="auto"/>
        <w:bottom w:val="none" w:sz="0" w:space="0" w:color="auto"/>
        <w:right w:val="none" w:sz="0" w:space="0" w:color="auto"/>
      </w:divBdr>
    </w:div>
    <w:div w:id="1487668739">
      <w:bodyDiv w:val="1"/>
      <w:marLeft w:val="0"/>
      <w:marRight w:val="0"/>
      <w:marTop w:val="0"/>
      <w:marBottom w:val="0"/>
      <w:divBdr>
        <w:top w:val="none" w:sz="0" w:space="0" w:color="auto"/>
        <w:left w:val="none" w:sz="0" w:space="0" w:color="auto"/>
        <w:bottom w:val="none" w:sz="0" w:space="0" w:color="auto"/>
        <w:right w:val="none" w:sz="0" w:space="0" w:color="auto"/>
      </w:divBdr>
    </w:div>
    <w:div w:id="1489786630">
      <w:bodyDiv w:val="1"/>
      <w:marLeft w:val="0"/>
      <w:marRight w:val="0"/>
      <w:marTop w:val="0"/>
      <w:marBottom w:val="0"/>
      <w:divBdr>
        <w:top w:val="none" w:sz="0" w:space="0" w:color="auto"/>
        <w:left w:val="none" w:sz="0" w:space="0" w:color="auto"/>
        <w:bottom w:val="none" w:sz="0" w:space="0" w:color="auto"/>
        <w:right w:val="none" w:sz="0" w:space="0" w:color="auto"/>
      </w:divBdr>
    </w:div>
    <w:div w:id="1588463293">
      <w:bodyDiv w:val="1"/>
      <w:marLeft w:val="0"/>
      <w:marRight w:val="0"/>
      <w:marTop w:val="0"/>
      <w:marBottom w:val="0"/>
      <w:divBdr>
        <w:top w:val="none" w:sz="0" w:space="0" w:color="auto"/>
        <w:left w:val="none" w:sz="0" w:space="0" w:color="auto"/>
        <w:bottom w:val="none" w:sz="0" w:space="0" w:color="auto"/>
        <w:right w:val="none" w:sz="0" w:space="0" w:color="auto"/>
      </w:divBdr>
    </w:div>
    <w:div w:id="1655180646">
      <w:bodyDiv w:val="1"/>
      <w:marLeft w:val="0"/>
      <w:marRight w:val="0"/>
      <w:marTop w:val="0"/>
      <w:marBottom w:val="0"/>
      <w:divBdr>
        <w:top w:val="none" w:sz="0" w:space="0" w:color="auto"/>
        <w:left w:val="none" w:sz="0" w:space="0" w:color="auto"/>
        <w:bottom w:val="none" w:sz="0" w:space="0" w:color="auto"/>
        <w:right w:val="none" w:sz="0" w:space="0" w:color="auto"/>
      </w:divBdr>
    </w:div>
    <w:div w:id="1736124407">
      <w:bodyDiv w:val="1"/>
      <w:marLeft w:val="0"/>
      <w:marRight w:val="0"/>
      <w:marTop w:val="0"/>
      <w:marBottom w:val="0"/>
      <w:divBdr>
        <w:top w:val="none" w:sz="0" w:space="0" w:color="auto"/>
        <w:left w:val="none" w:sz="0" w:space="0" w:color="auto"/>
        <w:bottom w:val="none" w:sz="0" w:space="0" w:color="auto"/>
        <w:right w:val="none" w:sz="0" w:space="0" w:color="auto"/>
      </w:divBdr>
    </w:div>
    <w:div w:id="1787236393">
      <w:bodyDiv w:val="1"/>
      <w:marLeft w:val="0"/>
      <w:marRight w:val="0"/>
      <w:marTop w:val="0"/>
      <w:marBottom w:val="0"/>
      <w:divBdr>
        <w:top w:val="none" w:sz="0" w:space="0" w:color="auto"/>
        <w:left w:val="none" w:sz="0" w:space="0" w:color="auto"/>
        <w:bottom w:val="none" w:sz="0" w:space="0" w:color="auto"/>
        <w:right w:val="none" w:sz="0" w:space="0" w:color="auto"/>
      </w:divBdr>
    </w:div>
    <w:div w:id="1805734309">
      <w:bodyDiv w:val="1"/>
      <w:marLeft w:val="0"/>
      <w:marRight w:val="0"/>
      <w:marTop w:val="0"/>
      <w:marBottom w:val="0"/>
      <w:divBdr>
        <w:top w:val="none" w:sz="0" w:space="0" w:color="auto"/>
        <w:left w:val="none" w:sz="0" w:space="0" w:color="auto"/>
        <w:bottom w:val="none" w:sz="0" w:space="0" w:color="auto"/>
        <w:right w:val="none" w:sz="0" w:space="0" w:color="auto"/>
      </w:divBdr>
    </w:div>
    <w:div w:id="2039502843">
      <w:bodyDiv w:val="1"/>
      <w:marLeft w:val="0"/>
      <w:marRight w:val="0"/>
      <w:marTop w:val="0"/>
      <w:marBottom w:val="0"/>
      <w:divBdr>
        <w:top w:val="none" w:sz="0" w:space="0" w:color="auto"/>
        <w:left w:val="none" w:sz="0" w:space="0" w:color="auto"/>
        <w:bottom w:val="none" w:sz="0" w:space="0" w:color="auto"/>
        <w:right w:val="none" w:sz="0" w:space="0" w:color="auto"/>
      </w:divBdr>
    </w:div>
    <w:div w:id="205226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hart" Target="charts/chart2.xml"/><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 Id="rId27" Type="http://schemas.microsoft.com/office/2016/09/relationships/commentsIds" Target="commentsId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bs-Latn-BA"/>
              <a:t>Izuzeća nosilaca pravosudnih</a:t>
            </a:r>
            <a:r>
              <a:rPr lang="bs-Latn-BA" baseline="0"/>
              <a:t> funkcija</a:t>
            </a:r>
            <a:endParaRPr lang="bs-Latn-BA"/>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r-Latn-RS"/>
        </a:p>
      </c:txPr>
    </c:title>
    <c:autoTitleDeleted val="0"/>
    <c:plotArea>
      <c:layout>
        <c:manualLayout>
          <c:layoutTarget val="inner"/>
          <c:xMode val="edge"/>
          <c:yMode val="edge"/>
          <c:x val="8.6225755982456589E-2"/>
          <c:y val="0.22257936507936513"/>
          <c:w val="0.88510974890353689"/>
          <c:h val="0.42450787401574802"/>
        </c:manualLayout>
      </c:layout>
      <c:barChart>
        <c:barDir val="col"/>
        <c:grouping val="clustered"/>
        <c:varyColors val="0"/>
        <c:ser>
          <c:idx val="0"/>
          <c:order val="0"/>
          <c:tx>
            <c:strRef>
              <c:f>Sheet1!$B$1</c:f>
              <c:strCache>
                <c:ptCount val="1"/>
                <c:pt idx="0">
                  <c:v>Broj zahtjeva za izuzeće</c:v>
                </c:pt>
              </c:strCache>
            </c:strRef>
          </c:tx>
          <c:spPr>
            <a:solidFill>
              <a:schemeClr val="accent1"/>
            </a:solidFill>
            <a:ln>
              <a:noFill/>
            </a:ln>
            <a:effectLst/>
          </c:spPr>
          <c:invertIfNegative val="0"/>
          <c:cat>
            <c:strRef>
              <c:f>Sheet1!$A$2:$A$4</c:f>
              <c:strCache>
                <c:ptCount val="3"/>
                <c:pt idx="0">
                  <c:v>Izuzeća u svim pravosudnim institucijama</c:v>
                </c:pt>
                <c:pt idx="1">
                  <c:v>Izuzeća u sudovima</c:v>
                </c:pt>
                <c:pt idx="2">
                  <c:v>Izuzeća u tužilaštvima</c:v>
                </c:pt>
              </c:strCache>
            </c:strRef>
          </c:cat>
          <c:val>
            <c:numRef>
              <c:f>Sheet1!$B$2:$B$4</c:f>
              <c:numCache>
                <c:formatCode>General</c:formatCode>
                <c:ptCount val="3"/>
                <c:pt idx="0">
                  <c:v>1981</c:v>
                </c:pt>
                <c:pt idx="1">
                  <c:v>1781</c:v>
                </c:pt>
                <c:pt idx="2">
                  <c:v>200</c:v>
                </c:pt>
              </c:numCache>
            </c:numRef>
          </c:val>
          <c:extLst>
            <c:ext xmlns:c16="http://schemas.microsoft.com/office/drawing/2014/chart" uri="{C3380CC4-5D6E-409C-BE32-E72D297353CC}">
              <c16:uniqueId val="{00000000-07D2-4D26-9230-0BD2094DB009}"/>
            </c:ext>
          </c:extLst>
        </c:ser>
        <c:ser>
          <c:idx val="1"/>
          <c:order val="1"/>
          <c:tx>
            <c:strRef>
              <c:f>Sheet1!$C$1</c:f>
              <c:strCache>
                <c:ptCount val="1"/>
                <c:pt idx="0">
                  <c:v>Broj usvojenih zahtjeva za izuzeće</c:v>
                </c:pt>
              </c:strCache>
            </c:strRef>
          </c:tx>
          <c:spPr>
            <a:solidFill>
              <a:schemeClr val="accent2"/>
            </a:solidFill>
            <a:ln>
              <a:noFill/>
            </a:ln>
            <a:effectLst/>
          </c:spPr>
          <c:invertIfNegative val="0"/>
          <c:cat>
            <c:strRef>
              <c:f>Sheet1!$A$2:$A$4</c:f>
              <c:strCache>
                <c:ptCount val="3"/>
                <c:pt idx="0">
                  <c:v>Izuzeća u svim pravosudnim institucijama</c:v>
                </c:pt>
                <c:pt idx="1">
                  <c:v>Izuzeća u sudovima</c:v>
                </c:pt>
                <c:pt idx="2">
                  <c:v>Izuzeća u tužilaštvima</c:v>
                </c:pt>
              </c:strCache>
            </c:strRef>
          </c:cat>
          <c:val>
            <c:numRef>
              <c:f>Sheet1!$C$2:$C$4</c:f>
              <c:numCache>
                <c:formatCode>General</c:formatCode>
                <c:ptCount val="3"/>
                <c:pt idx="0">
                  <c:v>1267</c:v>
                </c:pt>
                <c:pt idx="1">
                  <c:v>1180</c:v>
                </c:pt>
                <c:pt idx="2">
                  <c:v>81</c:v>
                </c:pt>
              </c:numCache>
            </c:numRef>
          </c:val>
          <c:extLst>
            <c:ext xmlns:c16="http://schemas.microsoft.com/office/drawing/2014/chart" uri="{C3380CC4-5D6E-409C-BE32-E72D297353CC}">
              <c16:uniqueId val="{00000001-07D2-4D26-9230-0BD2094DB009}"/>
            </c:ext>
          </c:extLst>
        </c:ser>
        <c:ser>
          <c:idx val="2"/>
          <c:order val="2"/>
          <c:tx>
            <c:strRef>
              <c:f>Sheet1!$D$1</c:f>
              <c:strCache>
                <c:ptCount val="1"/>
                <c:pt idx="0">
                  <c:v>Broj odbačenih/odbijenih zahtjeva</c:v>
                </c:pt>
              </c:strCache>
            </c:strRef>
          </c:tx>
          <c:spPr>
            <a:solidFill>
              <a:schemeClr val="accent3"/>
            </a:solidFill>
            <a:ln>
              <a:noFill/>
            </a:ln>
            <a:effectLst/>
          </c:spPr>
          <c:invertIfNegative val="0"/>
          <c:cat>
            <c:strRef>
              <c:f>Sheet1!$A$2:$A$4</c:f>
              <c:strCache>
                <c:ptCount val="3"/>
                <c:pt idx="0">
                  <c:v>Izuzeća u svim pravosudnim institucijama</c:v>
                </c:pt>
                <c:pt idx="1">
                  <c:v>Izuzeća u sudovima</c:v>
                </c:pt>
                <c:pt idx="2">
                  <c:v>Izuzeća u tužilaštvima</c:v>
                </c:pt>
              </c:strCache>
            </c:strRef>
          </c:cat>
          <c:val>
            <c:numRef>
              <c:f>Sheet1!$D$2:$D$4</c:f>
              <c:numCache>
                <c:formatCode>General</c:formatCode>
                <c:ptCount val="3"/>
                <c:pt idx="0">
                  <c:v>677</c:v>
                </c:pt>
                <c:pt idx="1">
                  <c:v>575</c:v>
                </c:pt>
                <c:pt idx="2">
                  <c:v>102</c:v>
                </c:pt>
              </c:numCache>
            </c:numRef>
          </c:val>
          <c:extLst>
            <c:ext xmlns:c16="http://schemas.microsoft.com/office/drawing/2014/chart" uri="{C3380CC4-5D6E-409C-BE32-E72D297353CC}">
              <c16:uniqueId val="{00000002-07D2-4D26-9230-0BD2094DB009}"/>
            </c:ext>
          </c:extLst>
        </c:ser>
        <c:ser>
          <c:idx val="3"/>
          <c:order val="3"/>
          <c:tx>
            <c:strRef>
              <c:f>Sheet1!$E$1</c:f>
              <c:strCache>
                <c:ptCount val="1"/>
                <c:pt idx="0">
                  <c:v>Broj zahtjeva podnesen od strane NPF</c:v>
                </c:pt>
              </c:strCache>
            </c:strRef>
          </c:tx>
          <c:spPr>
            <a:solidFill>
              <a:schemeClr val="accent4"/>
            </a:solidFill>
            <a:ln>
              <a:noFill/>
            </a:ln>
            <a:effectLst/>
          </c:spPr>
          <c:invertIfNegative val="0"/>
          <c:cat>
            <c:strRef>
              <c:f>Sheet1!$A$2:$A$4</c:f>
              <c:strCache>
                <c:ptCount val="3"/>
                <c:pt idx="0">
                  <c:v>Izuzeća u svim pravosudnim institucijama</c:v>
                </c:pt>
                <c:pt idx="1">
                  <c:v>Izuzeća u sudovima</c:v>
                </c:pt>
                <c:pt idx="2">
                  <c:v>Izuzeća u tužilaštvima</c:v>
                </c:pt>
              </c:strCache>
            </c:strRef>
          </c:cat>
          <c:val>
            <c:numRef>
              <c:f>Sheet1!$E$2:$E$4</c:f>
              <c:numCache>
                <c:formatCode>General</c:formatCode>
                <c:ptCount val="3"/>
                <c:pt idx="0">
                  <c:v>1224</c:v>
                </c:pt>
                <c:pt idx="1">
                  <c:v>1129</c:v>
                </c:pt>
                <c:pt idx="2">
                  <c:v>95</c:v>
                </c:pt>
              </c:numCache>
            </c:numRef>
          </c:val>
          <c:extLst>
            <c:ext xmlns:c16="http://schemas.microsoft.com/office/drawing/2014/chart" uri="{C3380CC4-5D6E-409C-BE32-E72D297353CC}">
              <c16:uniqueId val="{00000003-07D2-4D26-9230-0BD2094DB009}"/>
            </c:ext>
          </c:extLst>
        </c:ser>
        <c:ser>
          <c:idx val="4"/>
          <c:order val="4"/>
          <c:tx>
            <c:strRef>
              <c:f>Sheet1!$F$1</c:f>
              <c:strCache>
                <c:ptCount val="1"/>
                <c:pt idx="0">
                  <c:v>Broj zahtjeva o kojima nije odlučeno</c:v>
                </c:pt>
              </c:strCache>
            </c:strRef>
          </c:tx>
          <c:spPr>
            <a:solidFill>
              <a:schemeClr val="accent5"/>
            </a:solidFill>
            <a:ln>
              <a:noFill/>
            </a:ln>
            <a:effectLst/>
          </c:spPr>
          <c:invertIfNegative val="0"/>
          <c:cat>
            <c:strRef>
              <c:f>Sheet1!$A$2:$A$4</c:f>
              <c:strCache>
                <c:ptCount val="3"/>
                <c:pt idx="0">
                  <c:v>Izuzeća u svim pravosudnim institucijama</c:v>
                </c:pt>
                <c:pt idx="1">
                  <c:v>Izuzeća u sudovima</c:v>
                </c:pt>
                <c:pt idx="2">
                  <c:v>Izuzeća u tužilaštvima</c:v>
                </c:pt>
              </c:strCache>
            </c:strRef>
          </c:cat>
          <c:val>
            <c:numRef>
              <c:f>Sheet1!$F$2:$F$4</c:f>
              <c:numCache>
                <c:formatCode>General</c:formatCode>
                <c:ptCount val="3"/>
                <c:pt idx="0">
                  <c:v>14</c:v>
                </c:pt>
              </c:numCache>
            </c:numRef>
          </c:val>
          <c:extLst>
            <c:ext xmlns:c16="http://schemas.microsoft.com/office/drawing/2014/chart" uri="{C3380CC4-5D6E-409C-BE32-E72D297353CC}">
              <c16:uniqueId val="{00000004-07D2-4D26-9230-0BD2094DB009}"/>
            </c:ext>
          </c:extLst>
        </c:ser>
        <c:ser>
          <c:idx val="5"/>
          <c:order val="5"/>
          <c:tx>
            <c:strRef>
              <c:f>Sheet1!$G$1</c:f>
              <c:strCache>
                <c:ptCount val="1"/>
                <c:pt idx="0">
                  <c:v>Broj zahtjeva za koje nije dostavljen ishod postupka</c:v>
                </c:pt>
              </c:strCache>
            </c:strRef>
          </c:tx>
          <c:spPr>
            <a:solidFill>
              <a:schemeClr val="accent6"/>
            </a:solidFill>
            <a:ln>
              <a:noFill/>
            </a:ln>
            <a:effectLst/>
          </c:spPr>
          <c:invertIfNegative val="0"/>
          <c:cat>
            <c:strRef>
              <c:f>Sheet1!$A$2:$A$4</c:f>
              <c:strCache>
                <c:ptCount val="3"/>
                <c:pt idx="0">
                  <c:v>Izuzeća u svim pravosudnim institucijama</c:v>
                </c:pt>
                <c:pt idx="1">
                  <c:v>Izuzeća u sudovima</c:v>
                </c:pt>
                <c:pt idx="2">
                  <c:v>Izuzeća u tužilaštvima</c:v>
                </c:pt>
              </c:strCache>
            </c:strRef>
          </c:cat>
          <c:val>
            <c:numRef>
              <c:f>Sheet1!$G$2:$G$4</c:f>
              <c:numCache>
                <c:formatCode>General</c:formatCode>
                <c:ptCount val="3"/>
                <c:pt idx="0">
                  <c:v>29</c:v>
                </c:pt>
              </c:numCache>
            </c:numRef>
          </c:val>
          <c:extLst>
            <c:ext xmlns:c16="http://schemas.microsoft.com/office/drawing/2014/chart" uri="{C3380CC4-5D6E-409C-BE32-E72D297353CC}">
              <c16:uniqueId val="{00000005-07D2-4D26-9230-0BD2094DB009}"/>
            </c:ext>
          </c:extLst>
        </c:ser>
        <c:dLbls>
          <c:showLegendKey val="0"/>
          <c:showVal val="0"/>
          <c:showCatName val="0"/>
          <c:showSerName val="0"/>
          <c:showPercent val="0"/>
          <c:showBubbleSize val="0"/>
        </c:dLbls>
        <c:gapWidth val="219"/>
        <c:overlap val="-27"/>
        <c:axId val="344335008"/>
        <c:axId val="344333368"/>
      </c:barChart>
      <c:catAx>
        <c:axId val="344335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344333368"/>
        <c:crosses val="autoZero"/>
        <c:auto val="1"/>
        <c:lblAlgn val="ctr"/>
        <c:lblOffset val="100"/>
        <c:noMultiLvlLbl val="0"/>
      </c:catAx>
      <c:valAx>
        <c:axId val="344333368"/>
        <c:scaling>
          <c:orientation val="minMax"/>
          <c:max val="2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crossAx val="344335008"/>
        <c:crosses val="autoZero"/>
        <c:crossBetween val="between"/>
      </c:valAx>
      <c:spPr>
        <a:noFill/>
        <a:ln>
          <a:noFill/>
        </a:ln>
        <a:effectLst/>
      </c:spPr>
    </c:plotArea>
    <c:legend>
      <c:legendPos val="b"/>
      <c:layout>
        <c:manualLayout>
          <c:xMode val="edge"/>
          <c:yMode val="edge"/>
          <c:x val="1.9592808227961719E-2"/>
          <c:y val="0.81448131483564556"/>
          <c:w val="0.93996747800661729"/>
          <c:h val="0.1617091613548306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109853203833391"/>
          <c:y val="0.1413726847089482"/>
          <c:w val="0.86682003459245016"/>
          <c:h val="0.64605155068558096"/>
        </c:manualLayout>
      </c:layout>
      <c:barChart>
        <c:barDir val="bar"/>
        <c:grouping val="clustered"/>
        <c:varyColors val="0"/>
        <c:ser>
          <c:idx val="0"/>
          <c:order val="0"/>
          <c:tx>
            <c:strRef>
              <c:f>Sheet1!$B$1</c:f>
              <c:strCache>
                <c:ptCount val="1"/>
                <c:pt idx="0">
                  <c:v>Broj sudija koji su imali dodatne aktivnosti</c:v>
                </c:pt>
              </c:strCache>
            </c:strRef>
          </c:tx>
          <c:spPr>
            <a:solidFill>
              <a:schemeClr val="accent5"/>
            </a:solidFill>
            <a:ln>
              <a:noFill/>
            </a:ln>
            <a:effectLst/>
          </c:spPr>
          <c:invertIfNegative val="0"/>
          <c:cat>
            <c:strRef>
              <c:f>Sheet1!$A$2:$A$13</c:f>
              <c:strCache>
                <c:ptCount val="12"/>
                <c:pt idx="0">
                  <c:v>Ukupno</c:v>
                </c:pt>
                <c:pt idx="1">
                  <c:v>Osnovni sud Brčko distrikta BiH</c:v>
                </c:pt>
                <c:pt idx="2">
                  <c:v>Osnovni sudovi</c:v>
                </c:pt>
                <c:pt idx="3">
                  <c:v>Općinski sudovi</c:v>
                </c:pt>
                <c:pt idx="4">
                  <c:v>Privredni sudovi</c:v>
                </c:pt>
                <c:pt idx="5">
                  <c:v>Viši privredni sud u Banja Luci</c:v>
                </c:pt>
                <c:pt idx="6">
                  <c:v>Okružni sudovi</c:v>
                </c:pt>
                <c:pt idx="7">
                  <c:v>Kantonalni sudovi</c:v>
                </c:pt>
                <c:pt idx="8">
                  <c:v>Apelacioni sud Brčko distrikta BiH</c:v>
                </c:pt>
                <c:pt idx="9">
                  <c:v>Sud BiH</c:v>
                </c:pt>
                <c:pt idx="10">
                  <c:v>Vrhovni sud Republike srpske</c:v>
                </c:pt>
                <c:pt idx="11">
                  <c:v>Vrhovni sud Federacije BiH</c:v>
                </c:pt>
              </c:strCache>
            </c:strRef>
          </c:cat>
          <c:val>
            <c:numRef>
              <c:f>Sheet1!$B$2:$B$13</c:f>
              <c:numCache>
                <c:formatCode>General</c:formatCode>
                <c:ptCount val="12"/>
                <c:pt idx="0">
                  <c:v>99</c:v>
                </c:pt>
                <c:pt idx="1">
                  <c:v>0</c:v>
                </c:pt>
                <c:pt idx="2">
                  <c:v>3</c:v>
                </c:pt>
                <c:pt idx="3">
                  <c:v>20</c:v>
                </c:pt>
                <c:pt idx="4">
                  <c:v>0</c:v>
                </c:pt>
                <c:pt idx="5">
                  <c:v>0</c:v>
                </c:pt>
                <c:pt idx="6">
                  <c:v>17</c:v>
                </c:pt>
                <c:pt idx="7">
                  <c:v>20</c:v>
                </c:pt>
                <c:pt idx="8">
                  <c:v>0</c:v>
                </c:pt>
                <c:pt idx="9">
                  <c:v>10</c:v>
                </c:pt>
                <c:pt idx="10">
                  <c:v>12</c:v>
                </c:pt>
                <c:pt idx="11">
                  <c:v>17</c:v>
                </c:pt>
              </c:numCache>
            </c:numRef>
          </c:val>
          <c:extLst>
            <c:ext xmlns:c16="http://schemas.microsoft.com/office/drawing/2014/chart" uri="{C3380CC4-5D6E-409C-BE32-E72D297353CC}">
              <c16:uniqueId val="{00000000-45FE-48A8-9DE7-B0613D1BC0A2}"/>
            </c:ext>
          </c:extLst>
        </c:ser>
        <c:ser>
          <c:idx val="1"/>
          <c:order val="1"/>
          <c:tx>
            <c:strRef>
              <c:f>Sheet1!$C$1</c:f>
              <c:strCache>
                <c:ptCount val="1"/>
                <c:pt idx="0">
                  <c:v>Ukupan broj dodatnih aktivnosti koje se sudije obavile</c:v>
                </c:pt>
              </c:strCache>
            </c:strRef>
          </c:tx>
          <c:spPr>
            <a:solidFill>
              <a:schemeClr val="accent2"/>
            </a:solidFill>
            <a:ln>
              <a:noFill/>
            </a:ln>
            <a:effectLst/>
          </c:spPr>
          <c:invertIfNegative val="0"/>
          <c:cat>
            <c:strRef>
              <c:f>Sheet1!$A$2:$A$13</c:f>
              <c:strCache>
                <c:ptCount val="12"/>
                <c:pt idx="0">
                  <c:v>Ukupno</c:v>
                </c:pt>
                <c:pt idx="1">
                  <c:v>Osnovni sud Brčko distrikta BiH</c:v>
                </c:pt>
                <c:pt idx="2">
                  <c:v>Osnovni sudovi</c:v>
                </c:pt>
                <c:pt idx="3">
                  <c:v>Općinski sudovi</c:v>
                </c:pt>
                <c:pt idx="4">
                  <c:v>Privredni sudovi</c:v>
                </c:pt>
                <c:pt idx="5">
                  <c:v>Viši privredni sud u Banja Luci</c:v>
                </c:pt>
                <c:pt idx="6">
                  <c:v>Okružni sudovi</c:v>
                </c:pt>
                <c:pt idx="7">
                  <c:v>Kantonalni sudovi</c:v>
                </c:pt>
                <c:pt idx="8">
                  <c:v>Apelacioni sud Brčko distrikta BiH</c:v>
                </c:pt>
                <c:pt idx="9">
                  <c:v>Sud BiH</c:v>
                </c:pt>
                <c:pt idx="10">
                  <c:v>Vrhovni sud Republike srpske</c:v>
                </c:pt>
                <c:pt idx="11">
                  <c:v>Vrhovni sud Federacije BiH</c:v>
                </c:pt>
              </c:strCache>
            </c:strRef>
          </c:cat>
          <c:val>
            <c:numRef>
              <c:f>Sheet1!$C$2:$C$13</c:f>
              <c:numCache>
                <c:formatCode>General</c:formatCode>
                <c:ptCount val="12"/>
                <c:pt idx="0">
                  <c:v>317</c:v>
                </c:pt>
                <c:pt idx="1">
                  <c:v>0</c:v>
                </c:pt>
                <c:pt idx="2">
                  <c:v>12</c:v>
                </c:pt>
                <c:pt idx="3">
                  <c:v>36</c:v>
                </c:pt>
                <c:pt idx="4">
                  <c:v>0</c:v>
                </c:pt>
                <c:pt idx="5">
                  <c:v>0</c:v>
                </c:pt>
                <c:pt idx="6">
                  <c:v>51</c:v>
                </c:pt>
                <c:pt idx="7">
                  <c:v>84</c:v>
                </c:pt>
                <c:pt idx="8">
                  <c:v>0</c:v>
                </c:pt>
                <c:pt idx="9">
                  <c:v>23</c:v>
                </c:pt>
                <c:pt idx="10">
                  <c:v>24</c:v>
                </c:pt>
                <c:pt idx="11">
                  <c:v>87</c:v>
                </c:pt>
              </c:numCache>
            </c:numRef>
          </c:val>
          <c:extLst>
            <c:ext xmlns:c16="http://schemas.microsoft.com/office/drawing/2014/chart" uri="{C3380CC4-5D6E-409C-BE32-E72D297353CC}">
              <c16:uniqueId val="{00000001-45FE-48A8-9DE7-B0613D1BC0A2}"/>
            </c:ext>
          </c:extLst>
        </c:ser>
        <c:ser>
          <c:idx val="2"/>
          <c:order val="2"/>
          <c:tx>
            <c:strRef>
              <c:f>Sheet1!$D$1</c:f>
              <c:strCache>
                <c:ptCount val="1"/>
                <c:pt idx="0">
                  <c:v>Ukupan broj sudija</c:v>
                </c:pt>
              </c:strCache>
            </c:strRef>
          </c:tx>
          <c:spPr>
            <a:solidFill>
              <a:schemeClr val="accent6"/>
            </a:solidFill>
            <a:ln>
              <a:noFill/>
            </a:ln>
            <a:effectLst/>
          </c:spPr>
          <c:invertIfNegative val="0"/>
          <c:cat>
            <c:strRef>
              <c:f>Sheet1!$A$2:$A$13</c:f>
              <c:strCache>
                <c:ptCount val="12"/>
                <c:pt idx="0">
                  <c:v>Ukupno</c:v>
                </c:pt>
                <c:pt idx="1">
                  <c:v>Osnovni sud Brčko distrikta BiH</c:v>
                </c:pt>
                <c:pt idx="2">
                  <c:v>Osnovni sudovi</c:v>
                </c:pt>
                <c:pt idx="3">
                  <c:v>Općinski sudovi</c:v>
                </c:pt>
                <c:pt idx="4">
                  <c:v>Privredni sudovi</c:v>
                </c:pt>
                <c:pt idx="5">
                  <c:v>Viši privredni sud u Banja Luci</c:v>
                </c:pt>
                <c:pt idx="6">
                  <c:v>Okružni sudovi</c:v>
                </c:pt>
                <c:pt idx="7">
                  <c:v>Kantonalni sudovi</c:v>
                </c:pt>
                <c:pt idx="8">
                  <c:v>Apelacioni sud Brčko distrikta BiH</c:v>
                </c:pt>
                <c:pt idx="9">
                  <c:v>Sud BiH</c:v>
                </c:pt>
                <c:pt idx="10">
                  <c:v>Vrhovni sud Republike srpske</c:v>
                </c:pt>
                <c:pt idx="11">
                  <c:v>Vrhovni sud Federacije BiH</c:v>
                </c:pt>
              </c:strCache>
            </c:strRef>
          </c:cat>
          <c:val>
            <c:numRef>
              <c:f>Sheet1!$D$2:$D$13</c:f>
              <c:numCache>
                <c:formatCode>General</c:formatCode>
                <c:ptCount val="12"/>
                <c:pt idx="0">
                  <c:v>1025</c:v>
                </c:pt>
                <c:pt idx="1">
                  <c:v>18</c:v>
                </c:pt>
                <c:pt idx="2">
                  <c:v>202</c:v>
                </c:pt>
                <c:pt idx="3">
                  <c:v>429</c:v>
                </c:pt>
                <c:pt idx="4">
                  <c:v>30</c:v>
                </c:pt>
                <c:pt idx="5">
                  <c:v>7</c:v>
                </c:pt>
                <c:pt idx="6">
                  <c:v>67</c:v>
                </c:pt>
                <c:pt idx="7">
                  <c:v>146</c:v>
                </c:pt>
                <c:pt idx="8">
                  <c:v>7</c:v>
                </c:pt>
                <c:pt idx="9">
                  <c:v>45</c:v>
                </c:pt>
                <c:pt idx="10">
                  <c:v>25</c:v>
                </c:pt>
                <c:pt idx="11">
                  <c:v>49</c:v>
                </c:pt>
              </c:numCache>
            </c:numRef>
          </c:val>
          <c:extLst>
            <c:ext xmlns:c16="http://schemas.microsoft.com/office/drawing/2014/chart" uri="{C3380CC4-5D6E-409C-BE32-E72D297353CC}">
              <c16:uniqueId val="{00000002-45FE-48A8-9DE7-B0613D1BC0A2}"/>
            </c:ext>
          </c:extLst>
        </c:ser>
        <c:dLbls>
          <c:showLegendKey val="0"/>
          <c:showVal val="0"/>
          <c:showCatName val="0"/>
          <c:showSerName val="0"/>
          <c:showPercent val="0"/>
          <c:showBubbleSize val="0"/>
        </c:dLbls>
        <c:gapWidth val="219"/>
        <c:axId val="538004240"/>
        <c:axId val="538009160"/>
      </c:barChart>
      <c:catAx>
        <c:axId val="538004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sr-Latn-RS"/>
          </a:p>
        </c:txPr>
        <c:crossAx val="538009160"/>
        <c:crosses val="autoZero"/>
        <c:auto val="1"/>
        <c:lblAlgn val="ctr"/>
        <c:lblOffset val="100"/>
        <c:noMultiLvlLbl val="0"/>
      </c:catAx>
      <c:valAx>
        <c:axId val="538009160"/>
        <c:scaling>
          <c:orientation val="minMax"/>
          <c:max val="1000"/>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sr-Latn-RS"/>
          </a:p>
        </c:txPr>
        <c:crossAx val="538004240"/>
        <c:crosses val="autoZero"/>
        <c:crossBetween val="between"/>
      </c:valAx>
      <c:spPr>
        <a:noFill/>
        <a:ln>
          <a:noFill/>
        </a:ln>
        <a:effectLst/>
      </c:spPr>
    </c:plotArea>
    <c:legend>
      <c:legendPos val="b"/>
      <c:layout>
        <c:manualLayout>
          <c:xMode val="edge"/>
          <c:yMode val="edge"/>
          <c:x val="3.0579688235624413E-2"/>
          <c:y val="0.87808974945747453"/>
          <c:w val="0.94040315997252943"/>
          <c:h val="8.7161836087215075E-2"/>
        </c:manualLayout>
      </c:layout>
      <c:overlay val="0"/>
      <c:spPr>
        <a:noFill/>
        <a:ln>
          <a:noFill/>
        </a:ln>
        <a:effectLst/>
      </c:spPr>
      <c:txPr>
        <a:bodyPr rot="0" spcFirstLastPara="1" vertOverflow="ellipsis" vert="horz" wrap="square" anchor="ctr" anchorCtr="1"/>
        <a:lstStyle/>
        <a:p>
          <a:pPr>
            <a:defRPr sz="840" b="0" i="0" u="none" strike="noStrike" kern="1200" baseline="0">
              <a:solidFill>
                <a:sysClr val="windowText" lastClr="000000"/>
              </a:solidFill>
              <a:latin typeface="+mn-lt"/>
              <a:ea typeface="+mn-ea"/>
              <a:cs typeface="+mn-cs"/>
            </a:defRPr>
          </a:pPr>
          <a:endParaRPr lang="sr-Latn-RS"/>
        </a:p>
      </c:txPr>
    </c:legend>
    <c:plotVisOnly val="1"/>
    <c:dispBlanksAs val="gap"/>
    <c:showDLblsOverMax val="0"/>
  </c:chart>
  <c:spPr>
    <a:solidFill>
      <a:schemeClr val="bg1"/>
    </a:solidFill>
    <a:ln w="57150" cap="flat" cmpd="sng" algn="ctr">
      <a:solidFill>
        <a:schemeClr val="tx1">
          <a:lumMod val="15000"/>
          <a:lumOff val="85000"/>
        </a:schemeClr>
      </a:solidFill>
      <a:round/>
    </a:ln>
    <a:effectLst/>
  </c:spPr>
  <c:txPr>
    <a:bodyPr/>
    <a:lstStyle/>
    <a:p>
      <a:pPr>
        <a:defRPr/>
      </a:pPr>
      <a:endParaRPr lang="sr-Latn-R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3923569553805779E-2"/>
          <c:y val="0.12018716429305722"/>
          <c:w val="0.93607643044619426"/>
          <c:h val="0.67213935313004392"/>
        </c:manualLayout>
      </c:layout>
      <c:barChart>
        <c:barDir val="bar"/>
        <c:grouping val="clustered"/>
        <c:varyColors val="0"/>
        <c:ser>
          <c:idx val="0"/>
          <c:order val="0"/>
          <c:tx>
            <c:strRef>
              <c:f>Sheet1!$B$1</c:f>
              <c:strCache>
                <c:ptCount val="1"/>
                <c:pt idx="0">
                  <c:v>Broj tužilaca koji su imali dodatne aktivnosti</c:v>
                </c:pt>
              </c:strCache>
            </c:strRef>
          </c:tx>
          <c:spPr>
            <a:solidFill>
              <a:schemeClr val="accent5"/>
            </a:solidFill>
            <a:ln>
              <a:noFill/>
            </a:ln>
            <a:effectLst/>
          </c:spPr>
          <c:invertIfNegative val="0"/>
          <c:cat>
            <c:strRef>
              <c:f>Sheet1!$A$2:$A$8</c:f>
              <c:strCache>
                <c:ptCount val="7"/>
                <c:pt idx="0">
                  <c:v>Ukupno</c:v>
                </c:pt>
                <c:pt idx="1">
                  <c:v>Okružna javna tužilaštva</c:v>
                </c:pt>
                <c:pt idx="2">
                  <c:v>Kantonalna tužilaštva</c:v>
                </c:pt>
                <c:pt idx="3">
                  <c:v>Tužilaštvo Brčko distrikta BiH</c:v>
                </c:pt>
                <c:pt idx="4">
                  <c:v>Republičko tužilaštvo RS</c:v>
                </c:pt>
                <c:pt idx="5">
                  <c:v>Federalno tužilaštvo FBiH</c:v>
                </c:pt>
                <c:pt idx="6">
                  <c:v>Tužilaštvo BiH</c:v>
                </c:pt>
              </c:strCache>
            </c:strRef>
          </c:cat>
          <c:val>
            <c:numRef>
              <c:f>Sheet1!$B$2:$B$8</c:f>
              <c:numCache>
                <c:formatCode>General</c:formatCode>
                <c:ptCount val="7"/>
                <c:pt idx="0">
                  <c:v>50</c:v>
                </c:pt>
                <c:pt idx="1">
                  <c:v>9</c:v>
                </c:pt>
                <c:pt idx="2">
                  <c:v>24</c:v>
                </c:pt>
                <c:pt idx="3">
                  <c:v>0</c:v>
                </c:pt>
                <c:pt idx="4">
                  <c:v>7</c:v>
                </c:pt>
                <c:pt idx="5">
                  <c:v>2</c:v>
                </c:pt>
                <c:pt idx="6">
                  <c:v>8</c:v>
                </c:pt>
              </c:numCache>
            </c:numRef>
          </c:val>
          <c:extLst>
            <c:ext xmlns:c16="http://schemas.microsoft.com/office/drawing/2014/chart" uri="{C3380CC4-5D6E-409C-BE32-E72D297353CC}">
              <c16:uniqueId val="{00000000-3F9D-4014-ACFA-01014F98EF50}"/>
            </c:ext>
          </c:extLst>
        </c:ser>
        <c:ser>
          <c:idx val="1"/>
          <c:order val="1"/>
          <c:tx>
            <c:strRef>
              <c:f>Sheet1!$C$1</c:f>
              <c:strCache>
                <c:ptCount val="1"/>
                <c:pt idx="0">
                  <c:v>Ukupan broj dodatnih aktivnosti koje su tužioci obavile</c:v>
                </c:pt>
              </c:strCache>
            </c:strRef>
          </c:tx>
          <c:spPr>
            <a:solidFill>
              <a:schemeClr val="accent2"/>
            </a:solidFill>
            <a:ln>
              <a:noFill/>
            </a:ln>
            <a:effectLst/>
          </c:spPr>
          <c:invertIfNegative val="0"/>
          <c:cat>
            <c:strRef>
              <c:f>Sheet1!$A$2:$A$8</c:f>
              <c:strCache>
                <c:ptCount val="7"/>
                <c:pt idx="0">
                  <c:v>Ukupno</c:v>
                </c:pt>
                <c:pt idx="1">
                  <c:v>Okružna javna tužilaštva</c:v>
                </c:pt>
                <c:pt idx="2">
                  <c:v>Kantonalna tužilaštva</c:v>
                </c:pt>
                <c:pt idx="3">
                  <c:v>Tužilaštvo Brčko distrikta BiH</c:v>
                </c:pt>
                <c:pt idx="4">
                  <c:v>Republičko tužilaštvo RS</c:v>
                </c:pt>
                <c:pt idx="5">
                  <c:v>Federalno tužilaštvo FBiH</c:v>
                </c:pt>
                <c:pt idx="6">
                  <c:v>Tužilaštvo BiH</c:v>
                </c:pt>
              </c:strCache>
            </c:strRef>
          </c:cat>
          <c:val>
            <c:numRef>
              <c:f>Sheet1!$C$2:$C$8</c:f>
              <c:numCache>
                <c:formatCode>General</c:formatCode>
                <c:ptCount val="7"/>
                <c:pt idx="0">
                  <c:v>133</c:v>
                </c:pt>
                <c:pt idx="1">
                  <c:v>21</c:v>
                </c:pt>
                <c:pt idx="2">
                  <c:v>73</c:v>
                </c:pt>
                <c:pt idx="3">
                  <c:v>0</c:v>
                </c:pt>
                <c:pt idx="4">
                  <c:v>12</c:v>
                </c:pt>
                <c:pt idx="5">
                  <c:v>4</c:v>
                </c:pt>
                <c:pt idx="6">
                  <c:v>23</c:v>
                </c:pt>
              </c:numCache>
            </c:numRef>
          </c:val>
          <c:extLst>
            <c:ext xmlns:c16="http://schemas.microsoft.com/office/drawing/2014/chart" uri="{C3380CC4-5D6E-409C-BE32-E72D297353CC}">
              <c16:uniqueId val="{00000001-3F9D-4014-ACFA-01014F98EF50}"/>
            </c:ext>
          </c:extLst>
        </c:ser>
        <c:ser>
          <c:idx val="2"/>
          <c:order val="2"/>
          <c:tx>
            <c:strRef>
              <c:f>Sheet1!$D$1</c:f>
              <c:strCache>
                <c:ptCount val="1"/>
                <c:pt idx="0">
                  <c:v>Ukupan broj tužilaca </c:v>
                </c:pt>
              </c:strCache>
            </c:strRef>
          </c:tx>
          <c:spPr>
            <a:solidFill>
              <a:schemeClr val="accent6"/>
            </a:solidFill>
            <a:ln>
              <a:noFill/>
            </a:ln>
            <a:effectLst/>
          </c:spPr>
          <c:invertIfNegative val="0"/>
          <c:cat>
            <c:strRef>
              <c:f>Sheet1!$A$2:$A$8</c:f>
              <c:strCache>
                <c:ptCount val="7"/>
                <c:pt idx="0">
                  <c:v>Ukupno</c:v>
                </c:pt>
                <c:pt idx="1">
                  <c:v>Okružna javna tužilaštva</c:v>
                </c:pt>
                <c:pt idx="2">
                  <c:v>Kantonalna tužilaštva</c:v>
                </c:pt>
                <c:pt idx="3">
                  <c:v>Tužilaštvo Brčko distrikta BiH</c:v>
                </c:pt>
                <c:pt idx="4">
                  <c:v>Republičko tužilaštvo RS</c:v>
                </c:pt>
                <c:pt idx="5">
                  <c:v>Federalno tužilaštvo FBiH</c:v>
                </c:pt>
                <c:pt idx="6">
                  <c:v>Tužilaštvo BiH</c:v>
                </c:pt>
              </c:strCache>
            </c:strRef>
          </c:cat>
          <c:val>
            <c:numRef>
              <c:f>Sheet1!$D$2:$D$8</c:f>
              <c:numCache>
                <c:formatCode>General</c:formatCode>
                <c:ptCount val="7"/>
                <c:pt idx="0">
                  <c:v>352</c:v>
                </c:pt>
                <c:pt idx="1">
                  <c:v>76</c:v>
                </c:pt>
                <c:pt idx="2">
                  <c:v>187</c:v>
                </c:pt>
                <c:pt idx="3">
                  <c:v>6</c:v>
                </c:pt>
                <c:pt idx="4">
                  <c:v>14</c:v>
                </c:pt>
                <c:pt idx="5">
                  <c:v>21</c:v>
                </c:pt>
                <c:pt idx="6">
                  <c:v>48</c:v>
                </c:pt>
              </c:numCache>
            </c:numRef>
          </c:val>
          <c:extLst>
            <c:ext xmlns:c16="http://schemas.microsoft.com/office/drawing/2014/chart" uri="{C3380CC4-5D6E-409C-BE32-E72D297353CC}">
              <c16:uniqueId val="{00000002-3F9D-4014-ACFA-01014F98EF50}"/>
            </c:ext>
          </c:extLst>
        </c:ser>
        <c:dLbls>
          <c:showLegendKey val="0"/>
          <c:showVal val="0"/>
          <c:showCatName val="0"/>
          <c:showSerName val="0"/>
          <c:showPercent val="0"/>
          <c:showBubbleSize val="0"/>
        </c:dLbls>
        <c:gapWidth val="219"/>
        <c:axId val="606960520"/>
        <c:axId val="606965440"/>
      </c:barChart>
      <c:catAx>
        <c:axId val="6069605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sr-Latn-RS"/>
          </a:p>
        </c:txPr>
        <c:crossAx val="606965440"/>
        <c:crosses val="autoZero"/>
        <c:auto val="1"/>
        <c:lblAlgn val="ctr"/>
        <c:lblOffset val="100"/>
        <c:noMultiLvlLbl val="0"/>
      </c:catAx>
      <c:valAx>
        <c:axId val="6069654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sr-Latn-RS"/>
          </a:p>
        </c:txPr>
        <c:crossAx val="606960520"/>
        <c:crosses val="autoZero"/>
        <c:crossBetween val="between"/>
      </c:valAx>
      <c:spPr>
        <a:noFill/>
        <a:ln>
          <a:noFill/>
        </a:ln>
        <a:effectLst/>
      </c:spPr>
    </c:plotArea>
    <c:legend>
      <c:legendPos val="b"/>
      <c:layout>
        <c:manualLayout>
          <c:xMode val="edge"/>
          <c:yMode val="edge"/>
          <c:x val="9.0074561575325483E-3"/>
          <c:y val="0.87922316419712709"/>
          <c:w val="0.98861858685574755"/>
          <c:h val="8.9273784866348585E-2"/>
        </c:manualLayout>
      </c:layout>
      <c:overlay val="0"/>
      <c:spPr>
        <a:noFill/>
        <a:ln>
          <a:noFill/>
        </a:ln>
        <a:effectLst/>
      </c:spPr>
      <c:txPr>
        <a:bodyPr rot="0" spcFirstLastPara="1" vertOverflow="ellipsis" vert="horz" wrap="square" anchor="ctr" anchorCtr="1"/>
        <a:lstStyle/>
        <a:p>
          <a:pPr>
            <a:defRPr sz="830" b="0" i="0" u="none" strike="noStrike" kern="1200" baseline="0">
              <a:solidFill>
                <a:sysClr val="windowText" lastClr="000000"/>
              </a:solidFill>
              <a:latin typeface="+mn-lt"/>
              <a:ea typeface="+mn-ea"/>
              <a:cs typeface="+mn-cs"/>
            </a:defRPr>
          </a:pPr>
          <a:endParaRPr lang="sr-Latn-R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Ukupan broj pravosudnih institucija/broj Pravosudnih institucija koje su imale istupe u javnost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8CE-47A2-AA17-7FAA4A6E7A2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8CE-47A2-AA17-7FAA4A6E7A2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8CE-47A2-AA17-7FAA4A6E7A2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Sheet1!$A$2:$A$4</c:f>
              <c:strCache>
                <c:ptCount val="3"/>
                <c:pt idx="0">
                  <c:v>Broj pravosudnih institucija koji je prikazao istup u javnosti </c:v>
                </c:pt>
                <c:pt idx="1">
                  <c:v>Istupi u javnost za sudove</c:v>
                </c:pt>
                <c:pt idx="2">
                  <c:v>Istupi u javnost za tužilaštva</c:v>
                </c:pt>
              </c:strCache>
            </c:strRef>
          </c:cat>
          <c:val>
            <c:numRef>
              <c:f>Sheet1!$B$2:$B$4</c:f>
              <c:numCache>
                <c:formatCode>General</c:formatCode>
                <c:ptCount val="3"/>
                <c:pt idx="0">
                  <c:v>29</c:v>
                </c:pt>
                <c:pt idx="1">
                  <c:v>13</c:v>
                </c:pt>
                <c:pt idx="2">
                  <c:v>16</c:v>
                </c:pt>
              </c:numCache>
            </c:numRef>
          </c:val>
          <c:extLst>
            <c:ext xmlns:c16="http://schemas.microsoft.com/office/drawing/2014/chart" uri="{C3380CC4-5D6E-409C-BE32-E72D297353CC}">
              <c16:uniqueId val="{00000000-A90E-409C-A3ED-D67E46E093CC}"/>
            </c:ext>
          </c:extLst>
        </c:ser>
        <c:ser>
          <c:idx val="1"/>
          <c:order val="1"/>
          <c:tx>
            <c:strRef>
              <c:f>Sheet1!$C$1</c:f>
              <c:strCache>
                <c:ptCount val="1"/>
                <c:pt idx="0">
                  <c:v>Broj sudova koji istupaju u javnost/Broj istupa u javnost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8CE-47A2-AA17-7FAA4A6E7A2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E8CE-47A2-AA17-7FAA4A6E7A2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E8CE-47A2-AA17-7FAA4A6E7A2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Broj pravosudnih institucija koji je prikazao istup u javnosti </c:v>
                </c:pt>
                <c:pt idx="1">
                  <c:v>Istupi u javnost za sudove</c:v>
                </c:pt>
                <c:pt idx="2">
                  <c:v>Istupi u javnost za tužilaštva</c:v>
                </c:pt>
              </c:strCache>
            </c:strRef>
          </c:cat>
          <c:val>
            <c:numRef>
              <c:f>Sheet1!$C$2:$C$4</c:f>
              <c:numCache>
                <c:formatCode>General</c:formatCode>
                <c:ptCount val="3"/>
                <c:pt idx="0">
                  <c:v>111</c:v>
                </c:pt>
                <c:pt idx="1">
                  <c:v>26</c:v>
                </c:pt>
                <c:pt idx="2">
                  <c:v>85</c:v>
                </c:pt>
              </c:numCache>
            </c:numRef>
          </c:val>
          <c:extLst>
            <c:ext xmlns:c16="http://schemas.microsoft.com/office/drawing/2014/chart" uri="{C3380CC4-5D6E-409C-BE32-E72D297353CC}">
              <c16:uniqueId val="{00000001-A90E-409C-A3ED-D67E46E093CC}"/>
            </c:ext>
          </c:extLst>
        </c:ser>
        <c:ser>
          <c:idx val="2"/>
          <c:order val="2"/>
          <c:tx>
            <c:strRef>
              <c:f>Sheet1!$D$1</c:f>
              <c:strCache>
                <c:ptCount val="1"/>
                <c:pt idx="0">
                  <c:v>Broj tužilaštava koja istupaju u javnost/Broj NPF koji istupaju u javnost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E8CE-47A2-AA17-7FAA4A6E7A2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E8CE-47A2-AA17-7FAA4A6E7A2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E8CE-47A2-AA17-7FAA4A6E7A2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sr-Latn-R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Broj pravosudnih institucija koji je prikazao istup u javnosti </c:v>
                </c:pt>
                <c:pt idx="1">
                  <c:v>Istupi u javnost za sudove</c:v>
                </c:pt>
                <c:pt idx="2">
                  <c:v>Istupi u javnost za tužilaštva</c:v>
                </c:pt>
              </c:strCache>
            </c:strRef>
          </c:cat>
          <c:val>
            <c:numRef>
              <c:f>Sheet1!$D$2:$D$4</c:f>
              <c:numCache>
                <c:formatCode>General</c:formatCode>
                <c:ptCount val="3"/>
                <c:pt idx="0">
                  <c:v>49</c:v>
                </c:pt>
                <c:pt idx="1">
                  <c:v>25</c:v>
                </c:pt>
                <c:pt idx="2">
                  <c:v>24</c:v>
                </c:pt>
              </c:numCache>
            </c:numRef>
          </c:val>
          <c:extLst>
            <c:ext xmlns:c16="http://schemas.microsoft.com/office/drawing/2014/chart" uri="{C3380CC4-5D6E-409C-BE32-E72D297353CC}">
              <c16:uniqueId val="{00000002-A90E-409C-A3ED-D67E46E093C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sr-Latn-R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WrappedLabelHistory xmlns:xsi="http://www.w3.org/2001/XMLSchema-instance" xmlns:xsd="http://www.w3.org/2001/XMLSchema" xmlns="http://www.boldonjames.com/2016/02/Classifier/internal/wrappedLabelHistory">
  <Value>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ezcwNEFGRkQ0LUVFRTAtNDY5Qi1CNkE4LUE0Nzk2NTM2MjY2M308L2lkPjxWYWxpZD50cnVlPC9WYWxpZD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UFJBVk9TVURKRVxkcmFnYW5hLmRqZXJpYzI8L1VzZXJOYW1lPjxEYXRlVGltZT45LiAzLiAyMDI2LiAxMjo0NzowNzwvRGF0ZVRpbWU+PExhYmVsU3RyaW5nPklOVEVSTk88L0xhYmVsU3RyaW5nPjwvaXRlbT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PC9zaXNsPjxVc2VyTmFtZT5QUkFWT1NVREpFXEFsbWlzYS5CZXJoYW1vdmljPC9Vc2VyTmFtZT48RGF0ZVRpbWU+NC4gNi4gMjAyNi4gMTA6MTk6NTU8L0RhdGVUaW1lPjxMYWJlbFN0cmluZz5KQVZOTzwvTGFiZWxTdHJpbmc+PC9pdGVtPjwvbGFiZWxIaXN0b3J5Pg==</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y3VOjE4iGf1cth240T0nw++qYOFcMVUl9hLsMNZGD8w=</DigestValue>
      </Reference>
      <Reference URI="#CLASSIFICATIONHISTORY">
        <DigestMethod Algorithm="http://www.w3.org/2001/04/xmlenc#sha256"/>
        <DigestValue>2WLxtp/sgXVpI6ZPxVQv/u3wzsKsMy6KtUbvkXlfMCU=</DigestValue>
      </Reference>
    </SignedInfo>
    <SignatureValue>ahwRArWZoK3mh6XKC36kop7ACbnKpPuFw1M6F3r+czzlJNLYhbGoLxG6rRWXlDGzfINbhP10wdU+jO+yz88kyw==</SignatureValue>
    <Object Id="CLASSIFICATIONHISTORY">
      <ArrayOfString xmlns:xsi="http://www.w3.org/2001/XMLSchema-instance" xmlns:xsd="http://www.w3.org/2001/XMLSchema" xmlns="">
        <string>AWyMP7h/sKg0rH5rySOHZHi2OVgR6Lg1</string>
      </ArrayOfString>
    </Object>
  </Signature>
</WrappedLabelHistory>
</file>

<file path=customXml/item2.xml><?xml version="1.0" encoding="utf-8"?>
<sisl xmlns:xsi="http://www.w3.org/2001/XMLSchema-instance" xmlns:xsd="http://www.w3.org/2001/XMLSchema" xmlns="http://www.boldonjames.com/2008/01/sie/internal/label" sislVersion="0" policy="691d7c78-6587-40ed-afe8-4127b3a216e7" origin="userSelected">
  <element uid="id_classification_nonbusiness" value=""/>
</sisl>
</file>

<file path=customXml/item3.xml><?xml version="1.0" encoding="utf-8"?>
<WrappedLabelInfo xmlns:xsi="http://www.w3.org/2001/XMLSchema-instance" xmlns:xsd="http://www.w3.org/2001/XMLSchema" xmlns="http://www.boldonjames.com/2016/02/Classifier/internal/wrappedLabelInfo">
  <Value>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PGVsaD5TekhDdm9kaExKS2w4SDhkRGV5eC9wNjUrMFloVExxbDwvZWxoPjxjb25maWc+VlNUViBjbGFzc2lmaWNhdGlvbjwvY29uZmlnPjxwb2w+VlNUViBwb2xpY3k8L3BvbD48c3VtbWFyeT5QVUJMSU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HcafKsAYd5zQxI+KCZpNOI4k3N2r7NduLbaJoJIeMU8=</DigestValue>
      </Reference>
      <Reference URI="#INFO">
        <DigestMethod Algorithm="http://www.w3.org/2001/04/xmlenc#sha256"/>
        <DigestValue>VgzopTn1+TMChe2t26cJ/xGtUmDdy1WaLy+3KsqrPec=</DigestValue>
      </Reference>
    </SignedInfo>
    <SignatureValue>nbHfzgiKlNzU26IK/9CQgQznQ1aXMAOcV3sNXCabgkt0rqYfghiVZ9U/JhLQvM4egSiow/TdcMIIz0ncvPR0bg==</SignatureValue>
    <Object Id="INFO">
      <ArrayOfString xmlns:xsi="http://www.w3.org/2001/XMLSchema-instance" xmlns:xsd="http://www.w3.org/2001/XMLSchema" xmlns="">
        <string>SzHCvodhLJKl8H8dDeyx/p65+0YhTLql</string>
      </ArrayOfString>
    </Object>
  </Signature>
</WrappedLabelInfo>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AFFD4-EEE0-469B-B6A8-A47965362663}">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CFD9A03F-7C63-41DF-9BE7-367402CB2D69}">
  <ds:schemaRefs>
    <ds:schemaRef ds:uri="http://www.w3.org/2001/XMLSchema"/>
    <ds:schemaRef ds:uri="http://www.boldonjames.com/2008/01/sie/internal/label"/>
  </ds:schemaRefs>
</ds:datastoreItem>
</file>

<file path=customXml/itemProps3.xml><?xml version="1.0" encoding="utf-8"?>
<ds:datastoreItem xmlns:ds="http://schemas.openxmlformats.org/officeDocument/2006/customXml" ds:itemID="{126F3E17-1D8F-46BC-A542-BDE80DCADA6B}">
  <ds:schemaRefs>
    <ds:schemaRef ds:uri="http://www.w3.org/2001/XMLSchema"/>
    <ds:schemaRef ds:uri="http://www.boldonjames.com/2016/02/Classifier/internal/wrappedLabelInfo"/>
    <ds:schemaRef ds:uri="http://www.w3.org/2000/09/xmldsig#"/>
    <ds:schemaRef ds:uri=""/>
  </ds:schemaRefs>
</ds:datastoreItem>
</file>

<file path=customXml/itemProps4.xml><?xml version="1.0" encoding="utf-8"?>
<ds:datastoreItem xmlns:ds="http://schemas.openxmlformats.org/officeDocument/2006/customXml" ds:itemID="{64E4766F-5101-494E-9D27-0ABD678CF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4313</Words>
  <Characters>26007</Characters>
  <Application>Microsoft Office Word</Application>
  <DocSecurity>0</DocSecurity>
  <Lines>546</Lines>
  <Paragraphs>203</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Čulić</dc:creator>
  <cp:keywords/>
  <dc:description/>
  <cp:lastModifiedBy>Almisa Zulovic Berhamovic</cp:lastModifiedBy>
  <cp:revision>4</cp:revision>
  <cp:lastPrinted>2026-05-15T12:13:00Z</cp:lastPrinted>
  <dcterms:created xsi:type="dcterms:W3CDTF">2026-06-03T11:32:00Z</dcterms:created>
  <dcterms:modified xsi:type="dcterms:W3CDTF">2026-06-04T10:19:00Z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14da4b16-c210-4035-bf2e-b84fa94d03fc</vt:lpwstr>
  </property>
  <property fmtid="{D5CDD505-2E9C-101B-9397-08002B2CF9AE}" pid="3" name="bjClsUserRVM">
    <vt:lpwstr>[]</vt:lpwstr>
  </property>
  <property fmtid="{D5CDD505-2E9C-101B-9397-08002B2CF9AE}" pid="4" name="bjSaver">
    <vt:lpwstr>Pb0JvgnyiknfCC7xvRXIF2ESOT7qvOPh</vt:lpwstr>
  </property>
  <property fmtid="{D5CDD505-2E9C-101B-9397-08002B2CF9AE}" pid="5" name="bjDocumentLabelXML">
    <vt:lpwstr>&lt;?xml version="1.0" encoding="us-ascii"?&gt;&lt;sisl xmlns:xsi="http://www.w3.org/2001/XMLSchema-instance" xmlns:xsd="http://www.w3.org/2001/XMLSchema" sislVersion="0" policy="691d7c78-6587-40ed-afe8-4127b3a216e7" origin="userSelected" xmlns="http://www.boldonj</vt:lpwstr>
  </property>
  <property fmtid="{D5CDD505-2E9C-101B-9397-08002B2CF9AE}" pid="6" name="bjDocumentLabelXML-0">
    <vt:lpwstr>ames.com/2008/01/sie/internal/label"&gt;&lt;element uid="id_classification_nonbusiness" value="" /&gt;&lt;/sisl&gt;</vt:lpwstr>
  </property>
  <property fmtid="{D5CDD505-2E9C-101B-9397-08002B2CF9AE}" pid="7" name="bjDocumentSecurityLabel">
    <vt:lpwstr>JAVNO</vt:lpwstr>
  </property>
  <property fmtid="{D5CDD505-2E9C-101B-9397-08002B2CF9AE}" pid="8" name="bjHeaderBothDocProperty">
    <vt:lpwstr>JAVNO</vt:lpwstr>
  </property>
  <property fmtid="{D5CDD505-2E9C-101B-9397-08002B2CF9AE}" pid="9" name="bjHeaderFirstPageDocProperty">
    <vt:lpwstr>JAVNO</vt:lpwstr>
  </property>
  <property fmtid="{D5CDD505-2E9C-101B-9397-08002B2CF9AE}" pid="10" name="bjHeaderEvenPageDocProperty">
    <vt:lpwstr>JAVNO</vt:lpwstr>
  </property>
  <property fmtid="{D5CDD505-2E9C-101B-9397-08002B2CF9AE}" pid="11" name="bjpmDocIH">
    <vt:lpwstr>D/E49GRMBovewe2xLV2r4G14jUqqslyJ</vt:lpwstr>
  </property>
  <property fmtid="{D5CDD505-2E9C-101B-9397-08002B2CF9AE}" pid="12" name="bjLabelHistoryID">
    <vt:lpwstr>{704AFFD4-EEE0-469B-B6A8-A47965362663}</vt:lpwstr>
  </property>
</Properties>
</file>