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369B" w:rsidRDefault="00E6369B" w:rsidP="00E6369B">
      <w:pPr>
        <w:rPr>
          <w:iCs/>
          <w:sz w:val="24"/>
          <w:szCs w:val="24"/>
          <w:lang w:val="bs-Latn-BA"/>
        </w:rPr>
      </w:pPr>
      <w:r>
        <w:rPr>
          <w:iCs/>
          <w:sz w:val="24"/>
          <w:szCs w:val="24"/>
          <w:lang w:val="bs-Latn-BA"/>
        </w:rPr>
        <w:t>BOSNA I HERCEGOVINA</w:t>
      </w:r>
    </w:p>
    <w:p w:rsidR="00E6369B" w:rsidRDefault="00E6369B" w:rsidP="00E6369B">
      <w:pPr>
        <w:rPr>
          <w:iCs/>
          <w:sz w:val="24"/>
          <w:szCs w:val="24"/>
          <w:lang w:val="bs-Latn-BA"/>
        </w:rPr>
      </w:pPr>
      <w:r>
        <w:rPr>
          <w:iCs/>
          <w:sz w:val="24"/>
          <w:szCs w:val="24"/>
          <w:lang w:val="bs-Latn-BA"/>
        </w:rPr>
        <w:t>FEDERACIJA BOSNE I HERCEGOVINE</w:t>
      </w:r>
    </w:p>
    <w:p w:rsidR="00E6369B" w:rsidRDefault="00E6369B" w:rsidP="00E6369B">
      <w:pPr>
        <w:rPr>
          <w:iCs/>
          <w:sz w:val="24"/>
          <w:szCs w:val="24"/>
          <w:lang w:val="bs-Latn-BA"/>
        </w:rPr>
      </w:pPr>
      <w:r>
        <w:rPr>
          <w:iCs/>
          <w:sz w:val="24"/>
          <w:szCs w:val="24"/>
          <w:lang w:val="bs-Latn-BA"/>
        </w:rPr>
        <w:t>BOSANSKO-PODRINJSKI KANTON GORAŽDE</w:t>
      </w:r>
    </w:p>
    <w:p w:rsidR="00E6369B" w:rsidRDefault="00E6369B" w:rsidP="00E6369B">
      <w:pPr>
        <w:rPr>
          <w:iCs/>
          <w:sz w:val="24"/>
          <w:szCs w:val="24"/>
          <w:lang w:val="bs-Latn-BA"/>
        </w:rPr>
      </w:pPr>
      <w:r>
        <w:rPr>
          <w:iCs/>
          <w:sz w:val="24"/>
          <w:szCs w:val="24"/>
          <w:lang w:val="bs-Latn-BA"/>
        </w:rPr>
        <w:t>KANTONALNI SUD U GORAŽDU</w:t>
      </w:r>
    </w:p>
    <w:p w:rsidR="00E6369B" w:rsidRDefault="00E6369B" w:rsidP="00E6369B">
      <w:pPr>
        <w:rPr>
          <w:iCs/>
          <w:sz w:val="24"/>
          <w:szCs w:val="24"/>
          <w:lang w:val="bs-Latn-BA"/>
        </w:rPr>
      </w:pPr>
      <w:r>
        <w:rPr>
          <w:iCs/>
          <w:sz w:val="24"/>
          <w:szCs w:val="24"/>
          <w:lang w:val="bs-Latn-BA"/>
        </w:rPr>
        <w:t>Broj: 45 0 P 047503 25 Gž</w:t>
      </w:r>
    </w:p>
    <w:p w:rsidR="00E6369B" w:rsidRDefault="00E6369B" w:rsidP="00E6369B">
      <w:pPr>
        <w:rPr>
          <w:iCs/>
          <w:sz w:val="24"/>
          <w:szCs w:val="24"/>
          <w:lang w:val="bs-Latn-BA"/>
        </w:rPr>
      </w:pPr>
      <w:r>
        <w:rPr>
          <w:iCs/>
          <w:sz w:val="24"/>
          <w:szCs w:val="24"/>
          <w:lang w:val="bs-Latn-BA"/>
        </w:rPr>
        <w:t>Goražde, 09.04.2025. godine</w:t>
      </w:r>
    </w:p>
    <w:p w:rsidR="00E6369B" w:rsidRDefault="00E6369B" w:rsidP="00E6369B">
      <w:pPr>
        <w:jc w:val="both"/>
        <w:rPr>
          <w:iCs/>
          <w:sz w:val="24"/>
          <w:szCs w:val="24"/>
          <w:lang w:val="bs-Latn-BA"/>
        </w:rPr>
      </w:pPr>
    </w:p>
    <w:p w:rsidR="00E6369B" w:rsidRDefault="00E6369B" w:rsidP="00E6369B">
      <w:pPr>
        <w:jc w:val="both"/>
        <w:rPr>
          <w:iCs/>
          <w:sz w:val="24"/>
          <w:szCs w:val="24"/>
          <w:lang w:val="bs-Latn-BA"/>
        </w:rPr>
      </w:pPr>
      <w:r>
        <w:rPr>
          <w:iCs/>
          <w:sz w:val="24"/>
          <w:szCs w:val="24"/>
          <w:lang w:val="bs-Latn-BA"/>
        </w:rPr>
        <w:t>KANTONALNI SUD U GORAŽDU, u vijeću sastavljenom od sudija Bjelović Milijane, predsjednice vijeća, Bičo Edina i Đajić Tanje, članova vijeća, u pravnoj stvari tužiteljice</w:t>
      </w:r>
      <w:r>
        <w:rPr>
          <w:iCs/>
          <w:sz w:val="24"/>
          <w:lang w:val="bs-Latn-BA" w:eastAsia="zh-CN"/>
        </w:rPr>
        <w:t xml:space="preserve"> Ć. A. iz Goražda, ul...., </w:t>
      </w:r>
      <w:r>
        <w:rPr>
          <w:iCs/>
          <w:sz w:val="24"/>
          <w:szCs w:val="24"/>
          <w:lang w:val="bs-Latn-BA"/>
        </w:rPr>
        <w:t xml:space="preserve">zastupane po punomoćniku </w:t>
      </w:r>
      <w:r w:rsidR="0035208E">
        <w:rPr>
          <w:iCs/>
          <w:sz w:val="24"/>
          <w:lang w:val="bs-Latn-BA" w:eastAsia="zh-CN"/>
        </w:rPr>
        <w:t>K. S.</w:t>
      </w:r>
      <w:bookmarkStart w:id="0" w:name="_GoBack"/>
      <w:bookmarkEnd w:id="0"/>
      <w:r>
        <w:rPr>
          <w:iCs/>
          <w:sz w:val="24"/>
          <w:szCs w:val="24"/>
          <w:lang w:val="bs-Latn-BA"/>
        </w:rPr>
        <w:t xml:space="preserve">, protiv tuženih JU Centar za socijalni rad BPK-a Goražde, zastupanog po Kantonalnom pravobranilaštvu Goražde i </w:t>
      </w:r>
      <w:r>
        <w:rPr>
          <w:iCs/>
          <w:sz w:val="24"/>
          <w:lang w:val="bs-Latn-BA" w:eastAsia="zh-CN"/>
        </w:rPr>
        <w:t>Federacije Bosne i Hercegovine, koju zastupa zakonski zastupnik Federalni pravobranilac,</w:t>
      </w:r>
      <w:r>
        <w:rPr>
          <w:iCs/>
          <w:sz w:val="24"/>
          <w:szCs w:val="24"/>
          <w:lang w:val="bs-Latn-BA"/>
        </w:rPr>
        <w:t xml:space="preserve"> radi </w:t>
      </w:r>
      <w:r>
        <w:rPr>
          <w:iCs/>
          <w:sz w:val="24"/>
          <w:lang w:val="bs-Latn-BA" w:eastAsia="zh-CN"/>
        </w:rPr>
        <w:t>utvrđivanja i otklanjanja diskriminacije po osnovu invaliditeta</w:t>
      </w:r>
      <w:r>
        <w:rPr>
          <w:iCs/>
          <w:sz w:val="24"/>
          <w:szCs w:val="24"/>
          <w:lang w:val="bs-Latn-BA"/>
        </w:rPr>
        <w:t xml:space="preserve">, vrijednost spora 500,00 KM, rješavajući o žalbi tužiteljice izjavljenoj na presudu Općinskog suda u Goraždu broj: </w:t>
      </w:r>
      <w:r>
        <w:rPr>
          <w:bCs/>
          <w:iCs/>
          <w:sz w:val="24"/>
          <w:szCs w:val="24"/>
          <w:lang w:val="bs-Latn-BA" w:eastAsia="zh-CN"/>
        </w:rPr>
        <w:t>45 0 P 047503 24 P</w:t>
      </w:r>
      <w:r>
        <w:rPr>
          <w:iCs/>
          <w:sz w:val="24"/>
          <w:szCs w:val="24"/>
          <w:lang w:val="bs-Latn-BA"/>
        </w:rPr>
        <w:t xml:space="preserve">, od </w:t>
      </w:r>
      <w:r>
        <w:rPr>
          <w:bCs/>
          <w:iCs/>
          <w:sz w:val="24"/>
          <w:szCs w:val="24"/>
          <w:lang w:val="bs-Latn-BA" w:eastAsia="zh-CN"/>
        </w:rPr>
        <w:t>26.12.2024</w:t>
      </w:r>
      <w:r>
        <w:rPr>
          <w:iCs/>
          <w:sz w:val="24"/>
          <w:szCs w:val="24"/>
          <w:lang w:val="bs-Latn-BA"/>
        </w:rPr>
        <w:t xml:space="preserve">. godine, u sjednici vijeća održanoj dana 09.04.2025. godine, donio je </w:t>
      </w:r>
    </w:p>
    <w:p w:rsidR="00E6369B" w:rsidRDefault="00E6369B" w:rsidP="00E6369B">
      <w:pPr>
        <w:jc w:val="both"/>
        <w:rPr>
          <w:iCs/>
          <w:sz w:val="24"/>
          <w:szCs w:val="24"/>
          <w:lang w:val="bs-Latn-BA"/>
        </w:rPr>
      </w:pPr>
    </w:p>
    <w:p w:rsidR="00E6369B" w:rsidRDefault="00E6369B" w:rsidP="00E6369B">
      <w:pPr>
        <w:jc w:val="center"/>
        <w:rPr>
          <w:iCs/>
          <w:sz w:val="24"/>
          <w:szCs w:val="24"/>
          <w:lang w:val="bs-Latn-BA"/>
        </w:rPr>
      </w:pPr>
      <w:r>
        <w:rPr>
          <w:iCs/>
          <w:sz w:val="24"/>
          <w:szCs w:val="24"/>
          <w:lang w:val="bs-Latn-BA"/>
        </w:rPr>
        <w:t>PRESUDU</w:t>
      </w:r>
    </w:p>
    <w:p w:rsidR="00E6369B" w:rsidRDefault="00E6369B" w:rsidP="00E6369B">
      <w:pPr>
        <w:jc w:val="both"/>
        <w:rPr>
          <w:iCs/>
          <w:sz w:val="24"/>
          <w:szCs w:val="24"/>
          <w:lang w:val="bs-Latn-BA"/>
        </w:rPr>
      </w:pPr>
      <w:r>
        <w:rPr>
          <w:iCs/>
          <w:sz w:val="24"/>
          <w:szCs w:val="24"/>
          <w:lang w:val="bs-Latn-BA"/>
        </w:rPr>
        <w:tab/>
      </w:r>
    </w:p>
    <w:p w:rsidR="00E6369B" w:rsidRDefault="00E6369B" w:rsidP="00E6369B">
      <w:pPr>
        <w:tabs>
          <w:tab w:val="center" w:pos="1980"/>
        </w:tabs>
        <w:jc w:val="both"/>
        <w:rPr>
          <w:iCs/>
          <w:sz w:val="24"/>
          <w:szCs w:val="24"/>
          <w:lang w:val="bs-Latn-BA"/>
        </w:rPr>
      </w:pPr>
      <w:r>
        <w:rPr>
          <w:iCs/>
          <w:sz w:val="24"/>
          <w:szCs w:val="24"/>
          <w:lang w:val="bs-Latn-BA"/>
        </w:rPr>
        <w:t xml:space="preserve">Žalba tužiteljice se odbija kao neosnovana i presuda Općinskog suda u Goraždu broj: </w:t>
      </w:r>
      <w:r>
        <w:rPr>
          <w:bCs/>
          <w:iCs/>
          <w:sz w:val="24"/>
          <w:szCs w:val="24"/>
          <w:lang w:val="bs-Latn-BA" w:eastAsia="zh-CN"/>
        </w:rPr>
        <w:t>45 0 P 047503 24 P</w:t>
      </w:r>
      <w:r>
        <w:rPr>
          <w:iCs/>
          <w:sz w:val="24"/>
          <w:szCs w:val="24"/>
          <w:lang w:val="bs-Latn-BA"/>
        </w:rPr>
        <w:t xml:space="preserve">, od </w:t>
      </w:r>
      <w:r>
        <w:rPr>
          <w:bCs/>
          <w:iCs/>
          <w:sz w:val="24"/>
          <w:szCs w:val="24"/>
          <w:lang w:val="bs-Latn-BA" w:eastAsia="zh-CN"/>
        </w:rPr>
        <w:t>26.12.2024</w:t>
      </w:r>
      <w:r>
        <w:rPr>
          <w:iCs/>
          <w:sz w:val="24"/>
          <w:szCs w:val="24"/>
          <w:lang w:val="bs-Latn-BA" w:eastAsia="hr-HR"/>
        </w:rPr>
        <w:t xml:space="preserve">. godine, se </w:t>
      </w:r>
      <w:r>
        <w:rPr>
          <w:iCs/>
          <w:sz w:val="24"/>
          <w:szCs w:val="24"/>
          <w:lang w:val="bs-Latn-BA"/>
        </w:rPr>
        <w:t>potvrđuje.</w:t>
      </w:r>
    </w:p>
    <w:p w:rsidR="00E6369B" w:rsidRDefault="00E6369B" w:rsidP="00E6369B">
      <w:pPr>
        <w:tabs>
          <w:tab w:val="center" w:pos="1980"/>
        </w:tabs>
        <w:jc w:val="both"/>
        <w:rPr>
          <w:iCs/>
          <w:sz w:val="24"/>
          <w:szCs w:val="24"/>
          <w:lang w:val="bs-Latn-BA"/>
        </w:rPr>
      </w:pPr>
    </w:p>
    <w:p w:rsidR="00E6369B" w:rsidRDefault="00E6369B" w:rsidP="00E6369B">
      <w:pPr>
        <w:jc w:val="center"/>
        <w:rPr>
          <w:iCs/>
          <w:sz w:val="24"/>
          <w:szCs w:val="24"/>
          <w:lang w:val="bs-Latn-BA"/>
        </w:rPr>
      </w:pPr>
      <w:r>
        <w:rPr>
          <w:iCs/>
          <w:sz w:val="24"/>
          <w:szCs w:val="24"/>
          <w:lang w:val="bs-Latn-BA"/>
        </w:rPr>
        <w:t>Obrazloženje</w:t>
      </w:r>
    </w:p>
    <w:p w:rsidR="00E6369B" w:rsidRDefault="00E6369B" w:rsidP="00E6369B">
      <w:pPr>
        <w:jc w:val="center"/>
        <w:rPr>
          <w:iCs/>
          <w:sz w:val="24"/>
          <w:szCs w:val="24"/>
          <w:lang w:val="bs-Latn-BA"/>
        </w:rPr>
      </w:pPr>
    </w:p>
    <w:p w:rsidR="00E6369B" w:rsidRDefault="00E6369B" w:rsidP="00E6369B">
      <w:pPr>
        <w:jc w:val="both"/>
        <w:rPr>
          <w:color w:val="000000"/>
          <w:sz w:val="24"/>
          <w:szCs w:val="24"/>
          <w:lang w:val="bs-Latn-BA"/>
        </w:rPr>
      </w:pPr>
      <w:r>
        <w:rPr>
          <w:iCs/>
          <w:sz w:val="24"/>
          <w:szCs w:val="24"/>
          <w:lang w:val="bs-Latn-BA"/>
        </w:rPr>
        <w:t xml:space="preserve">Prvostepenom presudom, stavom prvim izreke, odbijen je tužbeni zahtjev kojim je tužiteljica tražila da se utvrdi da su </w:t>
      </w:r>
      <w:r>
        <w:rPr>
          <w:sz w:val="24"/>
          <w:szCs w:val="24"/>
          <w:lang w:val="bs-Latn-BA"/>
        </w:rPr>
        <w:t>tuženi rješenjem od 25.03.2009. godine povrijedili pravo tužiteljice na jednako postupanje u vezi sa rješenjem od 03.07.2006. godine, da se utvrdi da je rješenje od 25.03.2009. godine u odnosu na tužiteljicu diskriminirajuće, da se obavežu tuženi da tužiteljici solidarno naknade štetu u iznosu od 13.419,00 KM, sa zakonskom zateznom kamatom počev od dana donošenja presude pa do konačne isplate, u roku od 30 dana, te da tužiteljici solidarno naknade troškove parničnog postupka. Stavom drugim izreke odbačena je tužba u dijelu tužbenog zahtjeva u kojim je tužiteljica tražila da se obavežu tuženi da tužiteljici priznaju pravo iz rješenja od 03.07.2006. godine u skladu sa principima zabranjene diskriminacije i UN konvencije o pravima osoba s invaliditetom, počev od dana podnošenja tužbe. Stavom trećim izreke određeno je da s</w:t>
      </w:r>
      <w:r>
        <w:rPr>
          <w:color w:val="000000"/>
          <w:sz w:val="24"/>
          <w:szCs w:val="24"/>
          <w:lang w:val="bs-Latn-BA"/>
        </w:rPr>
        <w:t xml:space="preserve">vaka stranka snosi svoje troškove postupka. </w:t>
      </w:r>
    </w:p>
    <w:p w:rsidR="00E6369B" w:rsidRDefault="00E6369B" w:rsidP="00E6369B">
      <w:pPr>
        <w:jc w:val="both"/>
        <w:rPr>
          <w:sz w:val="24"/>
          <w:szCs w:val="24"/>
          <w:lang w:val="bs-Latn-BA" w:eastAsia="zh-CN"/>
        </w:rPr>
      </w:pPr>
    </w:p>
    <w:p w:rsidR="00E6369B" w:rsidRDefault="00E6369B" w:rsidP="00E6369B">
      <w:pPr>
        <w:jc w:val="both"/>
        <w:rPr>
          <w:iCs/>
          <w:sz w:val="24"/>
          <w:szCs w:val="24"/>
          <w:lang w:val="bs-Latn-BA"/>
        </w:rPr>
      </w:pPr>
      <w:r>
        <w:rPr>
          <w:iCs/>
          <w:sz w:val="24"/>
          <w:szCs w:val="24"/>
          <w:lang w:val="bs-Latn-BA"/>
        </w:rPr>
        <w:t xml:space="preserve">Tužiteljica je putem punomoćnika blagovremeno izjavila žalbu na prvostepenu presudu koju pobija u stavu prvom i drugom izreke zbog povrede odredaba parničnog postupka, pogrešno utvrđenog činjeničnog stanja i pogrešne primjene materijalnog prava. Predlaže da ovaj sud žalbu uvaži, prvostepenu presudu preinači u pobijanom dijelu na način da u cijelosti usvoji tužbeni zahtjev tužiteljice ili da presudu u pobijanom dijelu ukine i predmet vrati prvostepenom sudu na ponovni postupak. </w:t>
      </w:r>
    </w:p>
    <w:p w:rsidR="00E6369B" w:rsidRDefault="00E6369B" w:rsidP="00E6369B">
      <w:pPr>
        <w:jc w:val="both"/>
        <w:rPr>
          <w:sz w:val="24"/>
          <w:szCs w:val="24"/>
          <w:lang w:val="bs-Latn-BA"/>
        </w:rPr>
      </w:pPr>
    </w:p>
    <w:p w:rsidR="00E6369B" w:rsidRDefault="00E6369B" w:rsidP="00E6369B">
      <w:pPr>
        <w:jc w:val="both"/>
        <w:rPr>
          <w:sz w:val="24"/>
          <w:szCs w:val="24"/>
          <w:lang w:val="bs-Latn-BA"/>
        </w:rPr>
      </w:pPr>
      <w:r>
        <w:rPr>
          <w:sz w:val="24"/>
          <w:szCs w:val="24"/>
          <w:lang w:val="bs-Latn-BA"/>
        </w:rPr>
        <w:t xml:space="preserve">U žalbi ističe da je prvostepeni sud povrijedio odredbe člana 8. i 191. stav 4. ZPP-a jer nije savjesno i brižljivo cijenio sve dokaze, da presuda ne sadrži navode o činjenicama na kojima se tužba temelji, odnosno ne sadrži ocjenu izvedenih dokaza. Smatra da je sud prilikom donošenja odluke zanemario stečena prava na ime invalidnosti tužiteljice, ukazujući da je povrijeđeno Ustavno </w:t>
      </w:r>
      <w:r>
        <w:rPr>
          <w:sz w:val="24"/>
          <w:szCs w:val="24"/>
          <w:lang w:val="bs-Latn-BA"/>
        </w:rPr>
        <w:lastRenderedPageBreak/>
        <w:t xml:space="preserve">načelo zabrane diskriminacije. Ističe da je prvostepeni sud u obrazloženju presude propustio dati jasne razloge za donošenje presude, pri čemu je interpretirao odgovore na tužbu opširno, dok je sadržaj tužbe interpretirao samo u jednom pasusu, odnosno da presuda ne sadrži razloge o odlučnim činjenicama. Ističe da je sud pogrešno postupio kada je presudom odbacio jedan dio tužbe, smatrajući da se tužba može odbaciti samo rješenjem. Smatra da je tužiteljici uskraćeno pravo na pravično suđenje i pravo na pristup sudu, pri čemu se sud pozvao na sudske odluke koje nisu primjenjive u konkretnom slučaju, odnosno da je sud ignorisao činjenicu da je tužiteljica žena koja nema jedne ruke i da se radi o invalidu V grupe sa 60% invaliditetom koji je utvrđen još 01.02.1971. godine. Smatra da nisu ispunjeni zakonski uslovi za odbijanje zahtjeva obzirom da je tužiteljica dostavila dokaze na kojima se zahtjev temelji, odnosno da je sud povrijedio odredbe člana 6. EKLJP. Smatra da je prvostepeni sud pogrešno i nepotpuno utvrdio činjenično stanje, odnosno da je odlučne činjenice pogrešno utvrdio, posebno ukazujući da je sud u potpunosti usvojio nalaz i mišljenje vještaka ekonomske struke ali nije usvojio tužbeni zahtjev za naknadu štete. Smatra da je sud propustio primijeniti relevantno materijalno pravo koje se odnosi na zabranu diskriminacije, ukazujući da su civilni invalidi diskriminisani unutar sebe, obzirom da su prava na naknadu utvrđena samo za invalide sa invaliditetom preko 90%, dok vojni invalidi imaju navedeno pravo po osnovu invaliditeta od 20% do 100%. Tužiteljica smatra da je diskriminisana samom činjenicom da je izvedena iz već stečenog prava, te da je sud pogrešno primijenio odredbe iz člana 195., 373. i 376. Zakona o obligacionim odnosima, kao i Zakona o zabrani diskriminacije. </w:t>
      </w:r>
    </w:p>
    <w:p w:rsidR="00E6369B" w:rsidRDefault="00E6369B" w:rsidP="00E6369B">
      <w:pPr>
        <w:jc w:val="both"/>
        <w:rPr>
          <w:sz w:val="24"/>
          <w:szCs w:val="24"/>
          <w:lang w:val="bs-Latn-BA"/>
        </w:rPr>
      </w:pPr>
    </w:p>
    <w:p w:rsidR="00E6369B" w:rsidRDefault="00E6369B" w:rsidP="00E6369B">
      <w:pPr>
        <w:jc w:val="both"/>
        <w:rPr>
          <w:sz w:val="24"/>
          <w:szCs w:val="24"/>
          <w:lang w:val="bs-Latn-BA"/>
        </w:rPr>
      </w:pPr>
      <w:r>
        <w:rPr>
          <w:sz w:val="24"/>
          <w:szCs w:val="24"/>
          <w:lang w:val="bs-Latn-BA"/>
        </w:rPr>
        <w:t>Tuženi nisu dostavili odgovore na žalbu.</w:t>
      </w:r>
    </w:p>
    <w:p w:rsidR="00E6369B" w:rsidRDefault="00E6369B" w:rsidP="00E6369B">
      <w:pPr>
        <w:jc w:val="both"/>
        <w:rPr>
          <w:sz w:val="24"/>
          <w:szCs w:val="24"/>
          <w:lang w:val="bs-Latn-BA"/>
        </w:rPr>
      </w:pPr>
    </w:p>
    <w:p w:rsidR="00E6369B" w:rsidRDefault="00E6369B" w:rsidP="00E6369B">
      <w:pPr>
        <w:jc w:val="both"/>
        <w:rPr>
          <w:iCs/>
          <w:sz w:val="24"/>
          <w:szCs w:val="24"/>
          <w:lang w:val="bs-Latn-BA"/>
        </w:rPr>
      </w:pPr>
      <w:r>
        <w:rPr>
          <w:iCs/>
          <w:sz w:val="24"/>
          <w:szCs w:val="24"/>
          <w:lang w:val="bs-Latn-BA"/>
        </w:rPr>
        <w:t>Pošto je ispitao pobijanu presudu u granicama žalbenih razloga i po službenoj dužnosti u smislu člana 221. Zakona o parničnom postupku (Službene novine Federacije BiH, broj: 53/03, 73/05, 19/06 i 98/15) drugostepeni sud je zaključio slijedeće:</w:t>
      </w:r>
    </w:p>
    <w:p w:rsidR="00E6369B" w:rsidRDefault="00E6369B" w:rsidP="00E6369B">
      <w:pPr>
        <w:ind w:firstLine="1134"/>
        <w:jc w:val="both"/>
        <w:rPr>
          <w:iCs/>
          <w:sz w:val="24"/>
          <w:szCs w:val="24"/>
          <w:lang w:val="bs-Latn-BA"/>
        </w:rPr>
      </w:pPr>
    </w:p>
    <w:p w:rsidR="00E6369B" w:rsidRDefault="00E6369B" w:rsidP="00E6369B">
      <w:pPr>
        <w:jc w:val="both"/>
        <w:rPr>
          <w:iCs/>
          <w:sz w:val="24"/>
          <w:szCs w:val="24"/>
          <w:lang w:val="bs-Latn-BA"/>
        </w:rPr>
      </w:pPr>
      <w:r>
        <w:rPr>
          <w:iCs/>
          <w:sz w:val="24"/>
          <w:szCs w:val="24"/>
          <w:lang w:val="bs-Latn-BA"/>
        </w:rPr>
        <w:t>Žalba nije osnovana.</w:t>
      </w:r>
    </w:p>
    <w:p w:rsidR="00E6369B" w:rsidRDefault="00E6369B" w:rsidP="00E6369B">
      <w:pPr>
        <w:ind w:firstLine="1134"/>
        <w:rPr>
          <w:iCs/>
          <w:sz w:val="24"/>
          <w:szCs w:val="24"/>
          <w:lang w:val="bs-Latn-BA"/>
        </w:rPr>
      </w:pPr>
    </w:p>
    <w:p w:rsidR="00E6369B" w:rsidRDefault="00E6369B" w:rsidP="00E6369B">
      <w:pPr>
        <w:jc w:val="both"/>
        <w:rPr>
          <w:sz w:val="24"/>
          <w:szCs w:val="24"/>
          <w:lang w:val="bs-Latn-BA"/>
        </w:rPr>
      </w:pPr>
      <w:r>
        <w:rPr>
          <w:sz w:val="24"/>
          <w:szCs w:val="24"/>
          <w:lang w:val="bs-Latn-BA"/>
        </w:rPr>
        <w:t>Predmet spora u ovoj pravnoj stvari je zahtjev tužiteljice da se utvrdi da su tuženi učinili diskriminaciju nad tužiteljicom, da se naloži tuženim da izvrši otklanjanje posljedica diskriminacije, da se obavežu tuženi da tužiteljici solidarno naknade štetu u iznosu od 13.419,00 KM i troškove parničnog postupka, sa zakonskom zateznom kamatom počev od dana donošenja presude pa do konačne isplate, te da se obavežu tuženi da tužiteljici priznaju pravo iz rješenja od 03.07.2006. godine u skladu sa principima zabrane diskriminacije i UN konvencije o pravima osoba s invaliditetom</w:t>
      </w:r>
      <w:r>
        <w:rPr>
          <w:color w:val="000000"/>
          <w:sz w:val="24"/>
          <w:szCs w:val="24"/>
          <w:lang w:val="bs-Latn-BA"/>
        </w:rPr>
        <w:t xml:space="preserve">. </w:t>
      </w:r>
    </w:p>
    <w:p w:rsidR="00E6369B" w:rsidRDefault="00E6369B" w:rsidP="00E6369B">
      <w:pPr>
        <w:autoSpaceDE w:val="0"/>
        <w:autoSpaceDN w:val="0"/>
        <w:adjustRightInd w:val="0"/>
        <w:jc w:val="both"/>
        <w:rPr>
          <w:sz w:val="24"/>
          <w:szCs w:val="24"/>
          <w:lang w:val="bs-Latn-BA"/>
        </w:rPr>
      </w:pPr>
    </w:p>
    <w:p w:rsidR="00E6369B" w:rsidRDefault="00E6369B" w:rsidP="00E6369B">
      <w:pPr>
        <w:jc w:val="both"/>
        <w:rPr>
          <w:iCs/>
          <w:sz w:val="24"/>
          <w:szCs w:val="24"/>
          <w:lang w:val="bs-Latn-BA"/>
        </w:rPr>
      </w:pPr>
      <w:r>
        <w:rPr>
          <w:iCs/>
          <w:sz w:val="24"/>
          <w:szCs w:val="24"/>
          <w:lang w:val="bs-Latn-BA"/>
        </w:rPr>
        <w:t xml:space="preserve">Iz činjeničnog utvrđenja prvostepene presude proizlazi da je nesporno da tužiteljica oglašena invalidom rada III kategorije od 05.02.1971. godine, da joj je rješenjem Zajednice PIO BiH od 30.10.1978. godine priznato pravo na iznos novčane naknade za tjelesno oštećenje, da je rješenjem JU Centar za socijalni rad BPK Goražde od 03.07.2006. godine tužiteljici kao invalidu V grupe sa 60% invaliditetom priznato pravo na ličnu invalidninu i ortopedski dodatak u ukupnom iznosu od 74,55 KM ali da joj nije priznato pravo na naknadu za dodatak za njegu i pomoć drugog lica, da je navedeno pravo prestalo rješenjem istog organa od 25.03.2009. godine, a zbog stupanja na snagu Izmjena i dopuna Zakona o osnovama socijalne zaštite, zaštite civilnih žrtava rata i zaštite porodica sa djecom iz 2009. godine, pri čemu iz </w:t>
      </w:r>
      <w:r>
        <w:rPr>
          <w:bCs/>
          <w:sz w:val="24"/>
          <w:szCs w:val="24"/>
          <w:lang w:val="bs-Latn-BA"/>
        </w:rPr>
        <w:t xml:space="preserve">nalaza i mišljenja vještaka finansijske struke proizlazi da bi tužiteljica u periodu od 01.04.2009. godine do 31.10.2024. godine po osnovu navedene </w:t>
      </w:r>
      <w:r>
        <w:rPr>
          <w:bCs/>
          <w:sz w:val="24"/>
          <w:szCs w:val="24"/>
          <w:lang w:val="bs-Latn-BA"/>
        </w:rPr>
        <w:lastRenderedPageBreak/>
        <w:t xml:space="preserve">invalidnine primila iznos od 13.940,85 KM i to 7.966,20 KM po osnovu lične invalidnine za V grupu, odnosno iznos od 5.974,65 KM po osnovu ortopedskog dodatka. </w:t>
      </w:r>
      <w:r>
        <w:rPr>
          <w:sz w:val="24"/>
          <w:szCs w:val="24"/>
          <w:lang w:val="bs-Latn-BA" w:eastAsia="bs-Latn-BA"/>
        </w:rPr>
        <w:t xml:space="preserve">Sud je odbio kao neosnovan prigovor drugotužene da je sud nenadležan za odlučivanje po postavljenom tužbenom zahtjevu za utvrđivanje postojanja diskriminacije, pri čemu se pozvao na odredbe člana 12. i 13. Zakona o zabrani diskriminacije, kao i zahtjeva za naknadu materijalne štete pozivajući se na odredbe ZOO. Sud je odbio i prigovor nedostataka aktivne legitimacije na strani tužiteljice, obzirom da se radi o invalidnom licu koje zahtijeva prava koja su mu prestala stupanjem na snagu Izmjena i dopuna Zakona po kojem je to pravo ranije bilo priznato. Sud je odbio i prigovor neblagovremenosti tužbe, nalazeći da se radi o mogućnosti postojanja sistemske diskriminacije koja još uvijek traje, zbog čega je našao da nije protekao zakonom propisani rok za podnošenje tužbe. Tužiteljica traži da se utvrdi postojanje diskriminacije do koje je došlo primjenom odredaba člana 3. Zakona o izmjeni i dopuni Zakona o osnovama socijalne zaštite, zaštite civilnih žrtava rata i zaštite porodica sa djecom, kojom je izmijenjen član 18b. Zakona na način da se radi </w:t>
      </w:r>
      <w:r>
        <w:rPr>
          <w:color w:val="000000"/>
          <w:sz w:val="24"/>
          <w:lang w:val="bs-Latn-BA"/>
        </w:rPr>
        <w:t xml:space="preserve">ostvarivanja prava utvrđenih Zakonom lica sa invaliditetom razvrstavaju prema utvrđenom procentu oštećenja organizma u dvije grupe i to: I grupa - lica sa invaliditetom sa 100% oštećenja organizma i II. grupa - lica sa invaliditetom sa 90% oštećenja organizma. Sud je ukazao da je odlukom Ustavnog suda BiH broj: U-11/22, od 14.07.2022. godine, utvrđeno da navedena odredba Zakona nije u suprotnosti sa članom II/4 Ustava BiH i članom 14. EKLJP, da ista nije diskriminirajuća, odnosno da tužiteljica nije diskriminisana navedenom odredbom Zakona. Pored navedenog sud je našao da tužiteljica nije ukazala u odnosu na koju uporednu grupu je navodno diskriminisana, obzirom da su svi mirnodopski invalidi tretirani na jednak način, zbog čega je našao da je tužbeni zahtjev za utvrđivanje diskriminacije neosnovan, a samim tim i zahtjev za naknadu štete koja je nastala tužiteljici zbog izvođenja iz ranije priznatog prava. Sud ukazuje da je tužiteljica za nastalu štetu saznala prestankom prava koji je ranije imala odnosno od mjeseca aprila 2009. godine, te da je samo pravo na naknadu štete zastarjelo protekom roka od 5 godina od dospjelosti najstarijeg neispunjenog potraživanja, a primjenom odredaba iz člana 373. ZOO, odnosno da je potraživanje zastarjelo prije podizanja tužbe dana 27.05.2024. godine, zbog čega je neosnovan i zahtjev za naknadu štete po odredbama ZOO. </w:t>
      </w:r>
      <w:r>
        <w:rPr>
          <w:sz w:val="24"/>
          <w:szCs w:val="24"/>
          <w:lang w:val="bs-Latn-BA" w:eastAsia="zh-CN"/>
        </w:rPr>
        <w:t xml:space="preserve">Sud je odluku iz stava drugog izreke donio primjenom Odluke Vrhovnog suda F BiH, broj: 65 0 P 829615 20 Spp, od 15.12.2020. godine, kojoj je utvrđeno da sud nije nadležan da odlučuje o pravima i isplatama naknada koje su određene Zakonom o osnovama socijalne zaštite, zaštite civilnih žrtava rata i zaštite porodica sa djecom, ukazujući da se takvo pravo može ostvariti isključivo u upravnom postupku, pri čemu se pozvao i na pravni stav zauzet u predmetu Kantonalnog suda u Sarajevu broj: </w:t>
      </w:r>
      <w:r>
        <w:rPr>
          <w:bCs/>
          <w:sz w:val="24"/>
          <w:szCs w:val="24"/>
          <w:lang w:val="bs-Latn-BA"/>
        </w:rPr>
        <w:t xml:space="preserve">65 0 P 827641 21 Gž, od 26.10.2022.godine. </w:t>
      </w:r>
      <w:r>
        <w:rPr>
          <w:color w:val="000000"/>
          <w:kern w:val="2"/>
          <w:sz w:val="24"/>
          <w:lang w:val="bs-Latn-BA" w:eastAsia="bs-Latn-BA"/>
        </w:rPr>
        <w:t>Sud je svoju odluku zasnovao na odredbama člana 1. Protokola broj 12. uz EKLJP, člana 1. UN Konvencije o uklanjanju svih oblika diskriminacije žena, člana 28. Konvencije o pravima osoba sa invaliditetom, člana 2., 3., 4., 5., 12., 13. i 15. Zakona o zabrani diskriminacije BiH (Službeni glasnik BiH, broj: 59/09 i 66/16), člana 186. i 277. Zakona o obligacionim odnosima (</w:t>
      </w:r>
      <w:r>
        <w:rPr>
          <w:bCs/>
          <w:sz w:val="24"/>
          <w:szCs w:val="24"/>
          <w:lang w:val="bs-Latn-BA"/>
        </w:rPr>
        <w:t xml:space="preserve">Službeni list SFRJ, broj: 29/78, 39/85, 45/89 i 57/89, Službeni list BiH, broj: 2/92, 13/93 i 13/94 i Službene novine F BiH, broj: 29/03 i 42/11) i člana 3. Zakona o izmjenama i dopunama Zakona o osnovama socijalne zaštite, zaštite civilnih žrtava rata i zaštite porodice s djecom (Službene novine F BiH, broj: 14/09). Sud je o odluku o troškovima postupka donio na osnovu odredaba iz člana 383., 386., 387., 395. i 396. ZPP-a, pri čemu se pozvao i na odluku Ustavnog suda BiH broj: AP-1101/17, od 22.03.2018. godine. </w:t>
      </w:r>
    </w:p>
    <w:p w:rsidR="00E6369B" w:rsidRDefault="00E6369B" w:rsidP="00E6369B">
      <w:pPr>
        <w:jc w:val="both"/>
        <w:rPr>
          <w:kern w:val="2"/>
          <w:sz w:val="24"/>
          <w:szCs w:val="24"/>
          <w:lang w:val="bs-Latn-BA" w:eastAsia="hr-HR"/>
        </w:rPr>
      </w:pPr>
      <w:r>
        <w:rPr>
          <w:sz w:val="24"/>
          <w:szCs w:val="24"/>
          <w:lang w:val="bs-Latn-BA"/>
        </w:rPr>
        <w:t>Žalbeni razlozi povrede odredaba parničnog postupka nisu ostvareni, obzirom da prema stanju u spisu ni u postupku kod prvostepenog suda koji je prethodio donošenju pobijane presude, kao ni u samoj presudi nije bilo i nema nedostataka iz člana 209. stav 2. tačka 2), 3), 8), 9), 12) i 13) ZPP-</w:t>
      </w:r>
      <w:r>
        <w:rPr>
          <w:sz w:val="24"/>
          <w:szCs w:val="24"/>
          <w:lang w:val="bs-Latn-BA"/>
        </w:rPr>
        <w:lastRenderedPageBreak/>
        <w:t>a, a na koje nedostatke drugostepeni sud pazi po službenoj dužnosti</w:t>
      </w:r>
      <w:r>
        <w:rPr>
          <w:lang w:val="bs-Latn-BA"/>
        </w:rPr>
        <w:t xml:space="preserve">, </w:t>
      </w:r>
      <w:r>
        <w:rPr>
          <w:sz w:val="24"/>
          <w:szCs w:val="24"/>
          <w:lang w:val="bs-Latn-BA"/>
        </w:rPr>
        <w:t>saglasno odredbi iz člana 221. ZPP-a. U</w:t>
      </w:r>
      <w:r>
        <w:rPr>
          <w:kern w:val="2"/>
          <w:sz w:val="24"/>
          <w:szCs w:val="24"/>
          <w:lang w:val="bs-Latn-BA" w:eastAsia="hr-HR"/>
        </w:rPr>
        <w:t xml:space="preserve"> obrazloženju presude dati su potpuni razlozi o odlučnim činjenicama iz kojih je vidljivo zašto je tužbeni zahtjev tužiteljice odbijen, odnosno tužba u jednom dijelu odbačena. Prvostepeni sud je naveo kojim se razlozima rukovodio, odnosno koje činjenice i okolnosti je uzeo u obzir prilikom odlučivanja o tužbenom zahtjevu. Pri tome je sve provedene dokaze cijenio na način propisan odredbom člana 8. ZPP-a</w:t>
      </w:r>
      <w:r>
        <w:rPr>
          <w:rFonts w:eastAsia="Tahoma"/>
          <w:sz w:val="24"/>
          <w:szCs w:val="24"/>
          <w:lang w:val="bs-Latn-BA"/>
        </w:rPr>
        <w:t>,</w:t>
      </w:r>
      <w:r>
        <w:rPr>
          <w:kern w:val="2"/>
          <w:sz w:val="24"/>
          <w:szCs w:val="24"/>
          <w:lang w:val="bs-Latn-BA" w:eastAsia="hr-HR"/>
        </w:rPr>
        <w:t xml:space="preserve"> a što proizlazi iz analize provedenih dokaza, jer dati razlozi imaju svoju činjeničnu i pravnu osnovu u provedenim dokazima i stanju predmetnog spisa, tako da nije osnovan žalbeni prigovor povrede odredaba iz člana 191. ZPP-a.</w:t>
      </w:r>
    </w:p>
    <w:p w:rsidR="00E6369B" w:rsidRDefault="00E6369B" w:rsidP="00E6369B">
      <w:pPr>
        <w:jc w:val="both"/>
        <w:rPr>
          <w:iCs/>
          <w:kern w:val="2"/>
          <w:sz w:val="24"/>
          <w:szCs w:val="24"/>
          <w:lang w:val="bs-Latn-BA" w:eastAsia="hr-HR"/>
        </w:rPr>
      </w:pPr>
    </w:p>
    <w:p w:rsidR="00E6369B" w:rsidRDefault="00E6369B" w:rsidP="00E6369B">
      <w:pPr>
        <w:jc w:val="both"/>
        <w:rPr>
          <w:sz w:val="24"/>
          <w:szCs w:val="24"/>
          <w:lang w:val="bs-Latn-BA"/>
        </w:rPr>
      </w:pPr>
      <w:r>
        <w:rPr>
          <w:sz w:val="24"/>
          <w:szCs w:val="24"/>
          <w:lang w:val="bs-Latn-BA" w:eastAsia="bs-Latn-BA"/>
        </w:rPr>
        <w:t xml:space="preserve">Neosnovan je i žalbeni razlog </w:t>
      </w:r>
      <w:hyperlink r:id="rId4" w:anchor="55" w:history="1">
        <w:r>
          <w:rPr>
            <w:rStyle w:val="Hyperlink"/>
            <w:sz w:val="24"/>
            <w:szCs w:val="24"/>
            <w:lang w:val="bs-Latn-BA" w:eastAsia="bs-Latn-BA"/>
          </w:rPr>
          <w:t>po</w:t>
        </w:r>
      </w:hyperlink>
      <w:r>
        <w:rPr>
          <w:sz w:val="24"/>
          <w:szCs w:val="24"/>
          <w:lang w:val="bs-Latn-BA" w:eastAsia="bs-Latn-BA"/>
        </w:rPr>
        <w:t>grešno i ne</w:t>
      </w:r>
      <w:hyperlink r:id="rId5" w:anchor="56" w:history="1">
        <w:r>
          <w:rPr>
            <w:rStyle w:val="Hyperlink"/>
            <w:sz w:val="24"/>
            <w:szCs w:val="24"/>
            <w:lang w:val="bs-Latn-BA" w:eastAsia="bs-Latn-BA"/>
          </w:rPr>
          <w:t>po</w:t>
        </w:r>
      </w:hyperlink>
      <w:r>
        <w:rPr>
          <w:sz w:val="24"/>
          <w:szCs w:val="24"/>
          <w:lang w:val="bs-Latn-BA" w:eastAsia="bs-Latn-BA"/>
        </w:rPr>
        <w:t xml:space="preserve">tpuno utvrđenog činjeničnog stanja, jer je </w:t>
      </w:r>
      <w:r>
        <w:rPr>
          <w:sz w:val="24"/>
          <w:szCs w:val="24"/>
          <w:lang w:val="bs-Latn-BA" w:eastAsia="hr-HR"/>
        </w:rPr>
        <w:t>prvostepeni sud i po ocjeni ovog suda pravilno utvrdio odlučne činjenice u ovoj pravnoj stvari</w:t>
      </w:r>
      <w:r>
        <w:rPr>
          <w:sz w:val="24"/>
          <w:szCs w:val="24"/>
          <w:lang w:val="bs-Latn-BA" w:eastAsia="bs-Latn-BA"/>
        </w:rPr>
        <w:t xml:space="preserve">, obzirom da je tokom </w:t>
      </w:r>
      <w:hyperlink r:id="rId6" w:anchor="57" w:history="1">
        <w:r>
          <w:rPr>
            <w:rStyle w:val="Hyperlink"/>
            <w:sz w:val="24"/>
            <w:szCs w:val="24"/>
            <w:lang w:val="bs-Latn-BA" w:eastAsia="bs-Latn-BA"/>
          </w:rPr>
          <w:t>po</w:t>
        </w:r>
      </w:hyperlink>
      <w:r>
        <w:rPr>
          <w:sz w:val="24"/>
          <w:szCs w:val="24"/>
          <w:lang w:val="bs-Latn-BA" w:eastAsia="bs-Latn-BA"/>
        </w:rPr>
        <w:t xml:space="preserve">stupka proveo sve dokaze predložene </w:t>
      </w:r>
      <w:hyperlink r:id="rId7" w:anchor="58" w:history="1">
        <w:r>
          <w:rPr>
            <w:rStyle w:val="Hyperlink"/>
            <w:sz w:val="24"/>
            <w:szCs w:val="24"/>
            <w:lang w:val="bs-Latn-BA" w:eastAsia="bs-Latn-BA"/>
          </w:rPr>
          <w:t>po</w:t>
        </w:r>
      </w:hyperlink>
      <w:r>
        <w:rPr>
          <w:sz w:val="24"/>
          <w:szCs w:val="24"/>
          <w:lang w:val="bs-Latn-BA" w:eastAsia="bs-Latn-BA"/>
        </w:rPr>
        <w:t xml:space="preserve"> strankama, te na temelju pravilne ocjene provedenih dokaza </w:t>
      </w:r>
      <w:r>
        <w:rPr>
          <w:sz w:val="24"/>
          <w:szCs w:val="24"/>
          <w:lang w:val="bs-Latn-BA" w:eastAsia="hr-HR"/>
        </w:rPr>
        <w:t>u skladu sa članom 8. i 123. stav 2. ZPP-a</w:t>
      </w:r>
      <w:r>
        <w:rPr>
          <w:sz w:val="24"/>
          <w:szCs w:val="24"/>
          <w:lang w:val="bs-Latn-BA"/>
        </w:rPr>
        <w:t xml:space="preserve"> donio pravilnu odluku. Naime,</w:t>
      </w:r>
      <w:r>
        <w:rPr>
          <w:sz w:val="24"/>
          <w:szCs w:val="24"/>
          <w:lang w:val="bs-Latn-BA" w:eastAsia="bs-Latn-BA"/>
        </w:rPr>
        <w:t xml:space="preserve"> činjenično utvrđenje na kojem je temeljena prvostepena presuda, u odnosu na ocjenu osnovanosti tužbenog zahtjeva nije dovedeno u sumnju niti navodima iz žalbe</w:t>
      </w:r>
      <w:r>
        <w:rPr>
          <w:sz w:val="24"/>
          <w:szCs w:val="24"/>
          <w:lang w:val="bs-Latn-BA"/>
        </w:rPr>
        <w:t xml:space="preserve"> jer se svi navodi žalbe svode na drugačiju ocjenu izvedenih dokaza od ocjene suda, što u konačnici strankama nije dozvoljeno, obzirom da je za ocjenu izvedenih dokaza jedino nadležan sud u skladu sa odredbom člana 8. ZPP-a.</w:t>
      </w:r>
    </w:p>
    <w:p w:rsidR="00E6369B" w:rsidRDefault="00E6369B" w:rsidP="00E6369B">
      <w:pPr>
        <w:tabs>
          <w:tab w:val="left" w:pos="0"/>
        </w:tabs>
        <w:ind w:right="-94"/>
        <w:jc w:val="both"/>
        <w:rPr>
          <w:iCs/>
          <w:sz w:val="24"/>
          <w:szCs w:val="24"/>
          <w:lang w:val="bs-Latn-BA"/>
        </w:rPr>
      </w:pPr>
    </w:p>
    <w:p w:rsidR="00E6369B" w:rsidRDefault="00E6369B" w:rsidP="00E6369B">
      <w:pPr>
        <w:jc w:val="both"/>
        <w:rPr>
          <w:sz w:val="24"/>
          <w:szCs w:val="24"/>
          <w:lang w:val="bs-Latn-BA"/>
        </w:rPr>
      </w:pPr>
      <w:r>
        <w:rPr>
          <w:sz w:val="24"/>
          <w:szCs w:val="24"/>
          <w:lang w:val="bs-Latn-BA"/>
        </w:rPr>
        <w:t xml:space="preserve">Po ocjeni ovog suda prvostepeni sud je imao činjenični i pravni osnov kada je odlučio kao u izreci prvostepene presude te je na pravilno i potpuno utvrđeno činjenično stanje pravilno primijenio materijalno pravo, o čemu je dao potpune i pravilne razloge koje u cijelosti prihvata i ovaj sud. Naime, </w:t>
      </w:r>
      <w:r>
        <w:rPr>
          <w:color w:val="000000"/>
          <w:sz w:val="24"/>
          <w:szCs w:val="24"/>
          <w:shd w:val="clear" w:color="auto" w:fill="FFFFFF"/>
          <w:lang w:val="bs-Latn-BA"/>
        </w:rPr>
        <w:t xml:space="preserve">na konkretan spor se imaju primijeniti </w:t>
      </w:r>
      <w:r>
        <w:rPr>
          <w:color w:val="000000"/>
          <w:sz w:val="24"/>
          <w:szCs w:val="24"/>
          <w:lang w:val="bs-Latn-BA"/>
        </w:rPr>
        <w:t xml:space="preserve">odredbe iz člana 2., 3., 4., 5., 12. i 13. Zakona o zabrani diskriminacije, iz kojih proizlazi da je neosnovan tužbeni zahtjev za utvrđivanje postojanja diskriminacije u odnosu na tužiteljicu. Ispravno se prvostepeni sud poziva na </w:t>
      </w:r>
      <w:r>
        <w:rPr>
          <w:sz w:val="24"/>
          <w:szCs w:val="24"/>
          <w:lang w:val="bs-Latn-BA"/>
        </w:rPr>
        <w:t xml:space="preserve">Odluku Ustavnog suda Bosne i Hercegovine broj: U 11/22, od 14.07.2022. godine, kojom je utvrđeno da član 3. Zakona o izmjenama i dopunama Zakona o osnovama socijalne zaštite, zaštite civilnih žrtava rata i zaštite porodice sa djecom (Službene novine F BiH, broj: 14/09) nije u suprotnosti sa članom II/4. Ustava Bosne i Hercegovine, članom 14. Evropske konvencije za zaštitu ljudskih prava i osnovnih sloboda i članom 1. Protokola broj 12 uz Evropsku konvenciju za zaštitu ljudskih prava i osnovnih sloboda iz čega proizlazi da tužena usvajanjem navedenog Zakona nije izvršila sistemsku diskriminaciju tužiteljice, odnosno da prvotužena primjenom navedenih odredbi nije izvršila diskriminaciju tužiteljice po osnovu ostvarivanja prava na novčanu naknadu koju je ranije primala. </w:t>
      </w:r>
    </w:p>
    <w:p w:rsidR="00E6369B" w:rsidRDefault="00E6369B" w:rsidP="00E6369B">
      <w:pPr>
        <w:jc w:val="both"/>
        <w:rPr>
          <w:sz w:val="24"/>
          <w:szCs w:val="24"/>
          <w:lang w:val="bs-Latn-BA"/>
        </w:rPr>
      </w:pPr>
    </w:p>
    <w:p w:rsidR="00E6369B" w:rsidRDefault="00E6369B" w:rsidP="00E6369B">
      <w:pPr>
        <w:jc w:val="both"/>
        <w:rPr>
          <w:sz w:val="24"/>
          <w:szCs w:val="24"/>
          <w:lang w:val="bs-Latn-BA"/>
        </w:rPr>
      </w:pPr>
      <w:r>
        <w:rPr>
          <w:sz w:val="24"/>
          <w:szCs w:val="24"/>
          <w:lang w:val="bs-Latn-BA"/>
        </w:rPr>
        <w:t xml:space="preserve">Naime, ovaj sud nalazi da tužiteljica nije učinila vjerovatnim da postoji nejednakost pred zakonom, odnosno da različit tretman korisnika civilne invalidnine u zakonodavnoj i izvršnoj vlasti i civilnih žrtava rata s druge strane, u odnosu na propisane naknade, nije dovoljan uslov za dokazivanje činjenica da je tužiteljica stavljena u nepovoljniji položaj, posebno ako se uzme u obzir da tužiteljica ima na raspolaganju i druga prava koja su propisana Zakonom o osnovama socijalne zaštite, a koji se odnose na dodatak za ličnu njegu i pomoć drugih lica, ortopedski dodatak, pomoć u troškovima liječenja i nabavku ortopedskih pomagala, odnosno da je zakonodavstvom tužene predviđena mnoga druga prava koja civilne žrtve rata nemaju. Kako je odredbama člana 72. stav 1. i 2. Pravilnika Ustavnog suda BiH (Službeni glasnik BiH, broj: 94/14) propisano da su odluke Ustavnog suda konačne i obavezujuće, to je sud dužan da u skladu sa svojim nadležnostima provodi odluke Ustavnog suda, to proizlazi da primjenom odluke broj: U 11/22, od 14.07.2022. </w:t>
      </w:r>
      <w:r>
        <w:rPr>
          <w:sz w:val="24"/>
          <w:szCs w:val="24"/>
          <w:lang w:val="bs-Latn-BA"/>
        </w:rPr>
        <w:lastRenderedPageBreak/>
        <w:t>godine, nije ni moguće utvrditi postojanje diskriminacije primjenom odredaba člana 3. Zakona o izmjenama i dopunama Zakona o osnovama socijalne zaštite, zaštite civilnih žrtava rata i zaštite porodice sa djecom.</w:t>
      </w:r>
    </w:p>
    <w:p w:rsidR="00E6369B" w:rsidRDefault="00E6369B" w:rsidP="00E6369B">
      <w:pPr>
        <w:jc w:val="both"/>
        <w:rPr>
          <w:sz w:val="24"/>
          <w:szCs w:val="24"/>
          <w:lang w:val="bs-Latn-BA"/>
        </w:rPr>
      </w:pPr>
    </w:p>
    <w:p w:rsidR="00E6369B" w:rsidRDefault="00E6369B" w:rsidP="00E6369B">
      <w:pPr>
        <w:jc w:val="both"/>
        <w:rPr>
          <w:iCs/>
          <w:sz w:val="24"/>
          <w:szCs w:val="24"/>
          <w:lang w:val="bs-Latn-BA"/>
        </w:rPr>
      </w:pPr>
      <w:r>
        <w:rPr>
          <w:sz w:val="24"/>
          <w:szCs w:val="24"/>
          <w:lang w:val="bs-Latn-BA"/>
        </w:rPr>
        <w:t xml:space="preserve">Neosnovano se žalbom ukazuje da sud nije imao u vidu da se radi o stečenom pravu koje se ne može ukinuti. Naime, odredbama člana 20. Zakona o izmjeni i dopuni Zakona propisano je da isplata novčanih primanja iz člana 18.c., 18.d. i 18.e. Zakona prestaje nakon šest mjeseci od stupanja na snagu Zakona, dok je članom 21. istog Zakona propisano da će korisnici prava iz navedenih članova koji ispunjavaju uvjete za ostvarivanje prava prema odredbama novog Zakona prava ostvarivati od prvog dana narednog mjeseca nakon isteka roka iz člana 20. Zakona. Iz rješenja JU Centar za socijalni rad BPK Goražde od </w:t>
      </w:r>
      <w:r>
        <w:rPr>
          <w:iCs/>
          <w:sz w:val="24"/>
          <w:szCs w:val="24"/>
          <w:lang w:val="bs-Latn-BA"/>
        </w:rPr>
        <w:t xml:space="preserve">03.07.2006. godine proizlazi da je tužiteljici priznato pravo na ličnu invalidninu i pravo na ortopedski dodatak na osnovu odredaba iz člana 18a, 18b, 18c, 18d, 18e, 18f i 18 h Zakona. Iz navedenog proizlazi da je pravo tužiteljici prestalo jer ne ispunjava uvjete propisane odredbama člana 3. Zakona o izmjenama i dopunama Zakona po kojem joj je pravo priznato, pri čemu je članom 20. Zakona o izmjenama i dopunama Zakona isto pravo prestalo protekom šest mjeseci od dana stupanja na snagu Zakona, iz čega proizlazi da je pravo prestalo na osnovu Zakona, zbog činjenice da više ne ispunjava uvjete za ostvarivanje ranije stečenog prava, a ne da joj je prestalo stečeno pravo koje se ne može izmijeniti. </w:t>
      </w:r>
    </w:p>
    <w:p w:rsidR="00E6369B" w:rsidRDefault="00E6369B" w:rsidP="00E6369B">
      <w:pPr>
        <w:jc w:val="both"/>
        <w:rPr>
          <w:sz w:val="24"/>
          <w:szCs w:val="24"/>
          <w:lang w:val="bs-Latn-BA"/>
        </w:rPr>
      </w:pPr>
    </w:p>
    <w:p w:rsidR="00E6369B" w:rsidRDefault="00E6369B" w:rsidP="00E6369B">
      <w:pPr>
        <w:jc w:val="both"/>
        <w:rPr>
          <w:sz w:val="24"/>
          <w:szCs w:val="24"/>
          <w:lang w:val="bs-Latn-BA"/>
        </w:rPr>
      </w:pPr>
      <w:r>
        <w:rPr>
          <w:sz w:val="24"/>
          <w:szCs w:val="24"/>
          <w:lang w:val="bs-Latn-BA" w:eastAsia="bs-Latn-BA"/>
        </w:rPr>
        <w:t xml:space="preserve">Neosnovano se tužiteljica poziva na pogrešnu primjenu materijalnog prava iz člana </w:t>
      </w:r>
      <w:r>
        <w:rPr>
          <w:sz w:val="24"/>
          <w:szCs w:val="24"/>
          <w:lang w:val="bs-Latn-BA"/>
        </w:rPr>
        <w:t>195., 373. i 376. ZOO. Prije svega, ovaj sud ukazuje da tužiteljica nije dokazala postojanje diskriminacije, pa samim tim ni da je zbog iste pretrpjela određenu štetu, odnosno da nije dokazala postojanje uzročno posljedične veze između radnji tuženih i nastale štete u skladu sa odredbama iz člana 154. ZOO. Pored navedenog, osnovano je sud ukazao da je zbog proteka vremena od kada je donesena odluka prvotuženog nastupila zastara samog prava, obzirom da je prošlo petnaest godina od dana donošenja rješenja kojim je prestalo pravo tužiteljice koje je predmet tužbe, pri čemu je tužiteljici odmah bilo poznato ko je donio rješenje i koji iznos štete joj je eventualno nastao, zbog čega je pravilno prvostepeni sud odlučio na je nastupila zastara potraživanja primjenom odredaba iz člana 373. ZOO.</w:t>
      </w:r>
    </w:p>
    <w:p w:rsidR="00E6369B" w:rsidRDefault="00E6369B" w:rsidP="00E6369B">
      <w:pPr>
        <w:jc w:val="both"/>
        <w:rPr>
          <w:sz w:val="24"/>
          <w:szCs w:val="24"/>
          <w:lang w:val="bs-Latn-BA"/>
        </w:rPr>
      </w:pPr>
    </w:p>
    <w:p w:rsidR="00E6369B" w:rsidRDefault="00E6369B" w:rsidP="00E6369B">
      <w:pPr>
        <w:jc w:val="both"/>
        <w:rPr>
          <w:sz w:val="24"/>
          <w:szCs w:val="24"/>
          <w:lang w:val="bs-Latn-BA"/>
        </w:rPr>
      </w:pPr>
      <w:r>
        <w:rPr>
          <w:sz w:val="24"/>
          <w:szCs w:val="24"/>
          <w:lang w:val="bs-Latn-BA"/>
        </w:rPr>
        <w:t xml:space="preserve">Neosnovan je žalbeni navod koji se odnosi na odluku suda iz stava drugog izreke, obzirom da je prvostepeni sud ispravno utvrdio da nije ovlašten da odlučuje o zahtjevu tužiteljice za uspostavljanje prava na novčano primanje po osnovu zahtjeva koji se zasniva na odredbama Zakona o osnovama socijalne zaštite, zaštite civilnih žrtava rata i zaštite porodice sa djecom. Naime, odredbama člana 18g. Zakona propisano je da o pravima iz člana 18a. Zakona rješava u prvom stepenu centar za socijalni rad ili općinska služba za upravu kojoj su povjereni poslovi socijalne zaštite, prema mjestu prebivališta ili boravišta podnosioca zahtjeva, a o žalbama protiv rješenja donesenih u prvom stepenu rješava Federalno ministarstvo rada i socijalne politike.  Stoga je osnovan zaključak suda da o navedenom pravo odlučuje isključivo organ uprave a ne sud, čemu u prilog ide i pravni stav iznesen u </w:t>
      </w:r>
      <w:r>
        <w:rPr>
          <w:sz w:val="24"/>
          <w:szCs w:val="24"/>
          <w:lang w:val="bs-Latn-BA" w:eastAsia="zh-CN"/>
        </w:rPr>
        <w:t xml:space="preserve">odluci Vrhovnog suda F BiH, broj: 65 0 P 829615 20 Spp, od 15.12.2020. godine, odnosno odluka istog suda broj: </w:t>
      </w:r>
      <w:r>
        <w:rPr>
          <w:sz w:val="24"/>
          <w:szCs w:val="24"/>
          <w:lang w:val="bs-Latn-BA" w:eastAsia="hr-HR"/>
        </w:rPr>
        <w:t>65 0 P 804519 23 Rev</w:t>
      </w:r>
      <w:r>
        <w:rPr>
          <w:sz w:val="24"/>
          <w:szCs w:val="24"/>
          <w:lang w:val="bs-Latn-BA"/>
        </w:rPr>
        <w:t xml:space="preserve">, od 11.04.2023. godine. </w:t>
      </w:r>
    </w:p>
    <w:p w:rsidR="00E6369B" w:rsidRDefault="00E6369B" w:rsidP="00E6369B">
      <w:pPr>
        <w:ind w:right="-1"/>
        <w:jc w:val="both"/>
        <w:rPr>
          <w:iCs/>
          <w:sz w:val="24"/>
          <w:szCs w:val="24"/>
          <w:lang w:val="bs-Latn-BA"/>
        </w:rPr>
      </w:pPr>
    </w:p>
    <w:p w:rsidR="00E6369B" w:rsidRDefault="00E6369B" w:rsidP="00E6369B">
      <w:pPr>
        <w:jc w:val="both"/>
        <w:rPr>
          <w:sz w:val="24"/>
          <w:szCs w:val="24"/>
          <w:lang w:val="bs-Latn-BA"/>
        </w:rPr>
      </w:pPr>
      <w:r>
        <w:rPr>
          <w:sz w:val="24"/>
          <w:szCs w:val="24"/>
          <w:lang w:val="bs-Latn-BA"/>
        </w:rPr>
        <w:t>Na osnovu iznesenog, ovaj sud zaključuje da žalbeni razlozi zbog kojih se pobija prvostepena presuda nisu ostvareni, pa kako nisu ostvareni ni razlozi na koje drugostepeni sud pazi po službenoj dužnosti, prema odredbi iz člana 221. ZPP-a, to je valjalo žalbu odbiti i presudu prvostepenog suda potvrditi, primjenom odredbe iz člana 226. navedenog Zakona.</w:t>
      </w:r>
    </w:p>
    <w:p w:rsidR="00E6369B" w:rsidRDefault="00E6369B" w:rsidP="00E6369B">
      <w:pPr>
        <w:jc w:val="both"/>
        <w:rPr>
          <w:iCs/>
          <w:sz w:val="24"/>
          <w:szCs w:val="24"/>
          <w:lang w:val="bs-Latn-BA"/>
        </w:rPr>
      </w:pPr>
    </w:p>
    <w:p w:rsidR="00E6369B" w:rsidRDefault="00E6369B" w:rsidP="00E6369B">
      <w:pPr>
        <w:rPr>
          <w:iCs/>
          <w:sz w:val="24"/>
          <w:szCs w:val="24"/>
          <w:lang w:val="bs-Latn-BA"/>
        </w:rPr>
      </w:pPr>
      <w:r>
        <w:rPr>
          <w:iCs/>
          <w:sz w:val="24"/>
          <w:szCs w:val="24"/>
          <w:lang w:val="bs-Latn-BA"/>
        </w:rPr>
        <w:tab/>
      </w:r>
      <w:r>
        <w:rPr>
          <w:iCs/>
          <w:sz w:val="24"/>
          <w:szCs w:val="24"/>
          <w:lang w:val="bs-Latn-BA"/>
        </w:rPr>
        <w:tab/>
      </w:r>
      <w:r>
        <w:rPr>
          <w:iCs/>
          <w:sz w:val="24"/>
          <w:szCs w:val="24"/>
          <w:lang w:val="bs-Latn-BA"/>
        </w:rPr>
        <w:tab/>
      </w:r>
      <w:r>
        <w:rPr>
          <w:iCs/>
          <w:sz w:val="24"/>
          <w:szCs w:val="24"/>
          <w:lang w:val="bs-Latn-BA"/>
        </w:rPr>
        <w:tab/>
      </w:r>
      <w:r>
        <w:rPr>
          <w:iCs/>
          <w:sz w:val="24"/>
          <w:szCs w:val="24"/>
          <w:lang w:val="bs-Latn-BA"/>
        </w:rPr>
        <w:tab/>
      </w:r>
      <w:r>
        <w:rPr>
          <w:iCs/>
          <w:sz w:val="24"/>
          <w:szCs w:val="24"/>
          <w:lang w:val="bs-Latn-BA"/>
        </w:rPr>
        <w:tab/>
      </w:r>
      <w:r>
        <w:rPr>
          <w:iCs/>
          <w:sz w:val="24"/>
          <w:szCs w:val="24"/>
          <w:lang w:val="bs-Latn-BA"/>
        </w:rPr>
        <w:tab/>
      </w:r>
      <w:r>
        <w:rPr>
          <w:iCs/>
          <w:sz w:val="24"/>
          <w:szCs w:val="24"/>
          <w:lang w:val="bs-Latn-BA"/>
        </w:rPr>
        <w:tab/>
        <w:t>Predsjednica vijeća</w:t>
      </w:r>
    </w:p>
    <w:p w:rsidR="00E6369B" w:rsidRDefault="00E6369B" w:rsidP="00E6369B">
      <w:pPr>
        <w:rPr>
          <w:iCs/>
          <w:sz w:val="24"/>
          <w:szCs w:val="24"/>
          <w:lang w:val="bs-Latn-BA"/>
        </w:rPr>
      </w:pPr>
    </w:p>
    <w:p w:rsidR="00E6369B" w:rsidRDefault="00E6369B" w:rsidP="00E6369B">
      <w:pPr>
        <w:rPr>
          <w:iCs/>
          <w:sz w:val="24"/>
          <w:szCs w:val="24"/>
          <w:lang w:val="bs-Latn-BA"/>
        </w:rPr>
      </w:pPr>
      <w:r>
        <w:rPr>
          <w:iCs/>
          <w:sz w:val="24"/>
          <w:szCs w:val="24"/>
          <w:lang w:val="bs-Latn-BA"/>
        </w:rPr>
        <w:t xml:space="preserve">                                                                                                  Bjelović Milijana</w:t>
      </w:r>
    </w:p>
    <w:p w:rsidR="00FE6CEF" w:rsidRDefault="00FE6CEF"/>
    <w:sectPr w:rsidR="00FE6CE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369B"/>
    <w:rsid w:val="0035208E"/>
    <w:rsid w:val="00E6369B"/>
    <w:rsid w:val="00FE6C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D3674C"/>
  <w15:chartTrackingRefBased/>
  <w15:docId w15:val="{3C6A09A2-B4CD-4E83-9E24-D484161EA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369B"/>
    <w:pPr>
      <w:spacing w:after="0" w:line="240" w:lineRule="auto"/>
    </w:pPr>
    <w:rPr>
      <w:rFonts w:ascii="Times New Roman" w:eastAsia="Times New Roman" w:hAnsi="Times New Roman" w:cs="Times New Roman"/>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semiHidden/>
    <w:unhideWhenUsed/>
    <w:rsid w:val="00E6369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0096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udskapraksa.vsrh.hr/supra/OdlukaTekst.asp?docID=3E28357E8BED&amp;Anonimizirano=3D&amp;Title=8242271922FA98BC1462E15F99D3699B4FF28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dskapraksa.vsrh.hr/supra/OdlukaTekst.asp?docID=3E28357E8BED&amp;Anonimizirano=3D&amp;Title=8242271922FA98BC1462E15F99D3699B4FF28C" TargetMode="External"/><Relationship Id="rId5" Type="http://schemas.openxmlformats.org/officeDocument/2006/relationships/hyperlink" Target="http://sudskapraksa.vsrh.hr/supra/OdlukaTekst.asp?docID=3E28357E8BED&amp;Anonimizirano=3D&amp;Title=8242271922FA98BC1462E15F99D3699B4FF28C" TargetMode="External"/><Relationship Id="rId4" Type="http://schemas.openxmlformats.org/officeDocument/2006/relationships/hyperlink" Target="http://sudskapraksa.vsrh.hr/supra/OdlukaTekst.asp?docID=3E28357E8BED&amp;Anonimizirano=3D&amp;Title=8242271922FA98BC1462E15F99D3699B4FF28C"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2887</Words>
  <Characters>16461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Amela Softić</dc:creator>
  <cp:keywords/>
  <dc:description/>
  <cp:lastModifiedBy>Amela Softić</cp:lastModifiedBy>
  <cp:revision>2</cp:revision>
  <dcterms:created xsi:type="dcterms:W3CDTF">2025-12-15T12:09:00Z</dcterms:created>
  <dcterms:modified xsi:type="dcterms:W3CDTF">2025-12-29T10:28:00Z</dcterms:modified>
</cp:coreProperties>
</file>