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2D3" w:rsidRPr="00386A46" w:rsidRDefault="00A562D3" w:rsidP="00A562D3">
      <w:pPr>
        <w:rPr>
          <w:rFonts w:ascii="Arial" w:hAnsi="Arial" w:cs="Arial"/>
          <w:w w:val="95"/>
          <w:lang w:val="hr-HR"/>
        </w:rPr>
      </w:pPr>
      <w:bookmarkStart w:id="0" w:name="_Toc29479783"/>
      <w:bookmarkStart w:id="1" w:name="_Toc39666945"/>
      <w:r>
        <w:rPr>
          <w:rFonts w:ascii="Arial" w:hAnsi="Arial" w:cs="Arial"/>
          <w:w w:val="95"/>
          <w:lang w:val="hr-HR"/>
        </w:rPr>
        <w:t>Okružni sud u Trebinju</w:t>
      </w:r>
    </w:p>
    <w:p w:rsidR="00A562D3" w:rsidRPr="00386A46" w:rsidRDefault="00A562D3" w:rsidP="00A562D3">
      <w:pPr>
        <w:rPr>
          <w:rFonts w:ascii="Arial" w:hAnsi="Arial" w:cs="Arial"/>
          <w:w w:val="95"/>
          <w:lang w:val="hr-HR"/>
        </w:rPr>
      </w:pPr>
      <w:bookmarkStart w:id="2" w:name="_Toc91766228"/>
      <w:bookmarkStart w:id="3" w:name="_Toc64460040"/>
      <w:bookmarkStart w:id="4" w:name="_Toc64459474"/>
      <w:bookmarkStart w:id="5" w:name="_Toc64458875"/>
      <w:r w:rsidRPr="00386A46">
        <w:rPr>
          <w:rFonts w:ascii="Arial" w:hAnsi="Arial" w:cs="Arial"/>
          <w:w w:val="95"/>
          <w:lang w:val="hr-HR"/>
        </w:rPr>
        <w:t>Broj:</w:t>
      </w:r>
      <w:bookmarkEnd w:id="2"/>
      <w:bookmarkEnd w:id="3"/>
      <w:bookmarkEnd w:id="4"/>
      <w:bookmarkEnd w:id="5"/>
      <w:r>
        <w:rPr>
          <w:rFonts w:ascii="Arial" w:hAnsi="Arial" w:cs="Arial"/>
          <w:w w:val="95"/>
          <w:lang w:val="hr-HR"/>
        </w:rPr>
        <w:t>015-0-Su-24-000-551</w:t>
      </w:r>
    </w:p>
    <w:p w:rsidR="00A562D3" w:rsidRPr="00386A46" w:rsidRDefault="00A562D3" w:rsidP="00A562D3">
      <w:pPr>
        <w:rPr>
          <w:rFonts w:ascii="Arial" w:hAnsi="Arial" w:cs="Arial"/>
          <w:w w:val="95"/>
          <w:lang w:val="hr-HR"/>
        </w:rPr>
      </w:pPr>
      <w:bookmarkStart w:id="6" w:name="_Toc64458876"/>
      <w:bookmarkStart w:id="7" w:name="_Toc91766229"/>
      <w:bookmarkStart w:id="8" w:name="_Toc64460041"/>
      <w:bookmarkStart w:id="9" w:name="_Toc64459475"/>
      <w:r>
        <w:rPr>
          <w:rFonts w:ascii="Arial" w:hAnsi="Arial" w:cs="Arial"/>
          <w:w w:val="95"/>
          <w:lang w:val="hr-HR"/>
        </w:rPr>
        <w:t>Trebinje</w:t>
      </w:r>
      <w:r w:rsidRPr="00386A46">
        <w:rPr>
          <w:rFonts w:ascii="Arial" w:hAnsi="Arial" w:cs="Arial"/>
          <w:w w:val="95"/>
          <w:lang w:val="hr-HR"/>
        </w:rPr>
        <w:t>,</w:t>
      </w:r>
      <w:bookmarkEnd w:id="6"/>
      <w:r>
        <w:rPr>
          <w:rFonts w:ascii="Arial" w:hAnsi="Arial" w:cs="Arial"/>
          <w:w w:val="95"/>
          <w:lang w:val="hr-HR"/>
        </w:rPr>
        <w:t>18.11</w:t>
      </w:r>
      <w:r w:rsidRPr="00386A46">
        <w:rPr>
          <w:rFonts w:ascii="Arial" w:hAnsi="Arial" w:cs="Arial"/>
          <w:w w:val="95"/>
          <w:lang w:val="hr-HR"/>
        </w:rPr>
        <w:t>.</w:t>
      </w:r>
      <w:r>
        <w:rPr>
          <w:rFonts w:ascii="Arial" w:hAnsi="Arial" w:cs="Arial"/>
          <w:w w:val="95"/>
          <w:lang w:val="hr-HR"/>
        </w:rPr>
        <w:t>2024.</w:t>
      </w:r>
      <w:r w:rsidRPr="00386A46">
        <w:rPr>
          <w:rFonts w:ascii="Arial" w:hAnsi="Arial" w:cs="Arial"/>
          <w:w w:val="95"/>
          <w:lang w:val="hr-HR"/>
        </w:rPr>
        <w:t xml:space="preserve"> godine</w:t>
      </w:r>
      <w:bookmarkEnd w:id="7"/>
      <w:bookmarkEnd w:id="8"/>
      <w:bookmarkEnd w:id="9"/>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Default="00A562D3" w:rsidP="00A562D3">
      <w:pPr>
        <w:spacing w:before="40" w:line="276" w:lineRule="auto"/>
        <w:ind w:left="0"/>
        <w:rPr>
          <w:rFonts w:ascii="Arial" w:hAnsi="Arial" w:cs="Arial"/>
          <w:w w:val="95"/>
          <w:sz w:val="24"/>
          <w:szCs w:val="24"/>
          <w:lang w:val="hr-HR"/>
        </w:rPr>
      </w:pPr>
    </w:p>
    <w:p w:rsidR="00A562D3"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Default="00A562D3" w:rsidP="00A562D3">
      <w:pPr>
        <w:spacing w:before="40" w:line="276" w:lineRule="auto"/>
        <w:ind w:left="0"/>
        <w:rPr>
          <w:rFonts w:ascii="Arial" w:hAnsi="Arial" w:cs="Arial"/>
          <w:w w:val="95"/>
          <w:sz w:val="24"/>
          <w:szCs w:val="24"/>
          <w:lang w:val="hr-HR"/>
        </w:rPr>
      </w:pPr>
    </w:p>
    <w:p w:rsidR="00A562D3"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Default="00A562D3" w:rsidP="00A562D3">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rsidR="00A562D3" w:rsidRPr="00C80EA6" w:rsidRDefault="00A562D3" w:rsidP="00A562D3">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2025 - 2027</w:t>
      </w:r>
    </w:p>
    <w:p w:rsidR="00A562D3" w:rsidRDefault="00A562D3" w:rsidP="00A562D3">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rsidR="00A562D3" w:rsidRPr="00C80EA6" w:rsidRDefault="00A562D3" w:rsidP="00A562D3">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w:t>
      </w:r>
      <w:r>
        <w:rPr>
          <w:rFonts w:ascii="Arial" w:hAnsi="Arial" w:cs="Arial"/>
          <w:b/>
          <w:bCs/>
          <w:w w:val="95"/>
          <w:sz w:val="56"/>
          <w:szCs w:val="56"/>
          <w:lang w:val="hr-HR"/>
        </w:rPr>
        <w:t>5</w:t>
      </w:r>
      <w:r w:rsidRPr="00C80EA6">
        <w:rPr>
          <w:rFonts w:ascii="Arial" w:hAnsi="Arial" w:cs="Arial"/>
          <w:b/>
          <w:bCs/>
          <w:w w:val="95"/>
          <w:sz w:val="56"/>
          <w:szCs w:val="56"/>
          <w:lang w:val="hr-HR"/>
        </w:rPr>
        <w:t>. godinu</w:t>
      </w:r>
    </w:p>
    <w:p w:rsidR="00A562D3" w:rsidRPr="003E7538" w:rsidRDefault="00A562D3" w:rsidP="00A562D3">
      <w:pPr>
        <w:spacing w:before="40" w:line="276" w:lineRule="auto"/>
        <w:ind w:left="0"/>
        <w:jc w:val="right"/>
        <w:rPr>
          <w:rFonts w:ascii="Arial" w:hAnsi="Arial" w:cs="Arial"/>
          <w:b/>
          <w:bCs/>
          <w:color w:val="808080" w:themeColor="background1" w:themeShade="80"/>
          <w:w w:val="95"/>
          <w:sz w:val="48"/>
          <w:szCs w:val="48"/>
          <w:lang w:val="hr-HR"/>
        </w:rPr>
      </w:pPr>
      <w:r>
        <w:rPr>
          <w:rFonts w:ascii="Arial" w:hAnsi="Arial" w:cs="Arial"/>
          <w:b/>
          <w:bCs/>
          <w:color w:val="808080" w:themeColor="background1" w:themeShade="80"/>
          <w:w w:val="95"/>
          <w:sz w:val="48"/>
          <w:szCs w:val="48"/>
          <w:lang w:val="hr-HR"/>
        </w:rPr>
        <w:t>OKRUŽNI SUD U TREBINJU</w:t>
      </w:r>
    </w:p>
    <w:p w:rsidR="00A562D3" w:rsidRPr="003E7538" w:rsidRDefault="00A562D3" w:rsidP="00A562D3">
      <w:pPr>
        <w:spacing w:before="40" w:line="276" w:lineRule="auto"/>
        <w:ind w:left="0"/>
        <w:jc w:val="right"/>
        <w:rPr>
          <w:rFonts w:ascii="Arial" w:hAnsi="Arial" w:cs="Arial"/>
          <w:b/>
          <w:bCs/>
          <w:w w:val="95"/>
          <w:sz w:val="48"/>
          <w:szCs w:val="48"/>
          <w:lang w:val="hr-HR"/>
        </w:rPr>
      </w:pP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A562D3" w:rsidTr="00B9322C">
        <w:tc>
          <w:tcPr>
            <w:tcW w:w="3402" w:type="dxa"/>
            <w:tcBorders>
              <w:top w:val="nil"/>
            </w:tcBorders>
          </w:tcPr>
          <w:p w:rsidR="00A562D3" w:rsidRDefault="00A562D3" w:rsidP="00B9322C">
            <w:pPr>
              <w:spacing w:before="40" w:line="276" w:lineRule="auto"/>
              <w:rPr>
                <w:rFonts w:ascii="Arial" w:hAnsi="Arial" w:cs="Arial"/>
                <w:w w:val="95"/>
                <w:lang w:val="hr-HR"/>
              </w:rPr>
            </w:pPr>
          </w:p>
        </w:tc>
        <w:tc>
          <w:tcPr>
            <w:tcW w:w="5660" w:type="dxa"/>
            <w:tcBorders>
              <w:top w:val="single" w:sz="18" w:space="0" w:color="0070C0"/>
            </w:tcBorders>
          </w:tcPr>
          <w:p w:rsidR="00A562D3" w:rsidRDefault="00A562D3" w:rsidP="00B9322C">
            <w:pPr>
              <w:spacing w:before="40" w:line="276" w:lineRule="auto"/>
              <w:rPr>
                <w:rFonts w:ascii="Arial" w:hAnsi="Arial" w:cs="Arial"/>
                <w:w w:val="95"/>
                <w:lang w:val="hr-HR"/>
              </w:rPr>
            </w:pPr>
          </w:p>
        </w:tc>
      </w:tr>
    </w:tbl>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Default="00A562D3" w:rsidP="00A562D3">
      <w:pPr>
        <w:spacing w:before="40" w:line="276" w:lineRule="auto"/>
        <w:ind w:left="0"/>
        <w:rPr>
          <w:rFonts w:ascii="Arial" w:hAnsi="Arial" w:cs="Arial"/>
          <w:w w:val="95"/>
          <w:sz w:val="24"/>
          <w:szCs w:val="24"/>
          <w:lang w:val="hr-HR"/>
        </w:rPr>
      </w:pPr>
    </w:p>
    <w:p w:rsidR="00A562D3" w:rsidRPr="009701D8" w:rsidRDefault="00A562D3" w:rsidP="00A562D3">
      <w:pPr>
        <w:spacing w:before="40" w:line="276" w:lineRule="auto"/>
        <w:ind w:left="0"/>
        <w:rPr>
          <w:rFonts w:ascii="Arial" w:hAnsi="Arial" w:cs="Arial"/>
          <w:w w:val="95"/>
          <w:sz w:val="24"/>
          <w:szCs w:val="24"/>
          <w:lang w:val="hr-HR"/>
        </w:rPr>
      </w:pPr>
    </w:p>
    <w:p w:rsidR="00A562D3" w:rsidRPr="00E22A5E" w:rsidRDefault="00A562D3" w:rsidP="00A562D3">
      <w:pPr>
        <w:spacing w:before="40" w:line="276" w:lineRule="auto"/>
        <w:ind w:left="0"/>
        <w:jc w:val="center"/>
        <w:rPr>
          <w:rFonts w:ascii="Arial" w:hAnsi="Arial" w:cs="Arial"/>
          <w:w w:val="95"/>
          <w:lang w:val="hr-HR"/>
        </w:rPr>
      </w:pPr>
      <w:r w:rsidRPr="00E22A5E">
        <w:rPr>
          <w:rFonts w:ascii="Arial" w:hAnsi="Arial" w:cs="Arial"/>
          <w:w w:val="95"/>
          <w:lang w:val="hr-HR"/>
        </w:rPr>
        <w:t>novembar 2024. godine</w:t>
      </w:r>
    </w:p>
    <w:p w:rsidR="00A562D3" w:rsidRPr="00C80453" w:rsidRDefault="00A562D3" w:rsidP="00A562D3">
      <w:pPr>
        <w:spacing w:before="40" w:line="276" w:lineRule="auto"/>
        <w:ind w:left="0"/>
        <w:jc w:val="both"/>
        <w:rPr>
          <w:rFonts w:ascii="Arial" w:hAnsi="Arial" w:cs="Arial"/>
          <w:w w:val="95"/>
          <w:sz w:val="4"/>
          <w:szCs w:val="8"/>
          <w:lang w:val="hr-HR"/>
        </w:rPr>
      </w:pPr>
    </w:p>
    <w:p w:rsidR="00A562D3" w:rsidRPr="009701D8" w:rsidRDefault="00A562D3" w:rsidP="00A562D3">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rsidR="00A562D3" w:rsidRPr="009336F9" w:rsidRDefault="00A562D3" w:rsidP="00A562D3">
          <w:pPr>
            <w:pStyle w:val="TOCHeading"/>
          </w:pPr>
          <w:r w:rsidRPr="009336F9">
            <w:t>SADRŽAJ</w:t>
          </w:r>
        </w:p>
        <w:p w:rsidR="00A562D3" w:rsidRPr="007B4448" w:rsidRDefault="00A562D3" w:rsidP="00A562D3">
          <w:pPr>
            <w:pStyle w:val="TOC1"/>
            <w:rPr>
              <w:rFonts w:cstheme="minorHAnsi"/>
              <w:noProof/>
              <w:w w:val="95"/>
              <w:lang w:val="hr-HR"/>
            </w:rPr>
          </w:pPr>
        </w:p>
        <w:p w:rsidR="00A562D3" w:rsidRPr="007B4448" w:rsidRDefault="00A562D3" w:rsidP="00A562D3">
          <w:pPr>
            <w:ind w:left="0"/>
            <w:rPr>
              <w:rFonts w:cstheme="minorHAnsi"/>
              <w:lang w:val="hr-HR"/>
            </w:rPr>
          </w:pPr>
        </w:p>
        <w:p w:rsidR="002E5EAD" w:rsidRDefault="00A562D3">
          <w:pPr>
            <w:pStyle w:val="TOC1"/>
            <w:tabs>
              <w:tab w:val="left" w:pos="880"/>
            </w:tabs>
            <w:rPr>
              <w:rFonts w:eastAsiaTheme="minorEastAsia"/>
              <w:noProof/>
              <w:lang w:val="bs-Latn-BA" w:eastAsia="bs-Latn-BA"/>
            </w:rPr>
          </w:pPr>
          <w:r w:rsidRPr="007B4448">
            <w:rPr>
              <w:rFonts w:cstheme="minorHAnsi"/>
              <w:b/>
              <w:bCs/>
              <w:noProof/>
              <w:w w:val="95"/>
              <w:lang w:val="hr-HR"/>
            </w:rPr>
            <w:fldChar w:fldCharType="begin"/>
          </w:r>
          <w:r w:rsidRPr="007B4448">
            <w:rPr>
              <w:rFonts w:cstheme="minorHAnsi"/>
              <w:b/>
              <w:bCs/>
              <w:noProof/>
              <w:w w:val="95"/>
              <w:lang w:val="hr-HR"/>
            </w:rPr>
            <w:instrText xml:space="preserve"> TOC \o "1-3" \h \z \u </w:instrText>
          </w:r>
          <w:r w:rsidRPr="007B4448">
            <w:rPr>
              <w:rFonts w:cstheme="minorHAnsi"/>
              <w:b/>
              <w:bCs/>
              <w:noProof/>
              <w:w w:val="95"/>
              <w:lang w:val="hr-HR"/>
            </w:rPr>
            <w:fldChar w:fldCharType="separate"/>
          </w:r>
          <w:hyperlink w:anchor="_Toc182901243" w:history="1">
            <w:r w:rsidR="002E5EAD" w:rsidRPr="00A17167">
              <w:rPr>
                <w:rStyle w:val="Hyperlink"/>
                <w:noProof/>
              </w:rPr>
              <w:t>A.</w:t>
            </w:r>
            <w:r w:rsidR="002E5EAD">
              <w:rPr>
                <w:rFonts w:eastAsiaTheme="minorEastAsia"/>
                <w:noProof/>
                <w:lang w:val="bs-Latn-BA" w:eastAsia="bs-Latn-BA"/>
              </w:rPr>
              <w:tab/>
            </w:r>
            <w:r w:rsidR="002E5EAD" w:rsidRPr="00A17167">
              <w:rPr>
                <w:rStyle w:val="Hyperlink"/>
                <w:noProof/>
              </w:rPr>
              <w:t>Uvod</w:t>
            </w:r>
            <w:r w:rsidR="002E5EAD">
              <w:rPr>
                <w:noProof/>
                <w:webHidden/>
              </w:rPr>
              <w:tab/>
            </w:r>
            <w:r w:rsidR="002E5EAD">
              <w:rPr>
                <w:noProof/>
                <w:webHidden/>
              </w:rPr>
              <w:fldChar w:fldCharType="begin"/>
            </w:r>
            <w:r w:rsidR="002E5EAD">
              <w:rPr>
                <w:noProof/>
                <w:webHidden/>
              </w:rPr>
              <w:instrText xml:space="preserve"> PAGEREF _Toc182901243 \h </w:instrText>
            </w:r>
            <w:r w:rsidR="002E5EAD">
              <w:rPr>
                <w:noProof/>
                <w:webHidden/>
              </w:rPr>
            </w:r>
            <w:r w:rsidR="002E5EAD">
              <w:rPr>
                <w:noProof/>
                <w:webHidden/>
              </w:rPr>
              <w:fldChar w:fldCharType="separate"/>
            </w:r>
            <w:r w:rsidR="002E5EAD">
              <w:rPr>
                <w:noProof/>
                <w:webHidden/>
              </w:rPr>
              <w:t>2</w:t>
            </w:r>
            <w:r w:rsidR="002E5EAD">
              <w:rPr>
                <w:noProof/>
                <w:webHidden/>
              </w:rPr>
              <w:fldChar w:fldCharType="end"/>
            </w:r>
          </w:hyperlink>
        </w:p>
        <w:p w:rsidR="002E5EAD" w:rsidRDefault="00904951">
          <w:pPr>
            <w:pStyle w:val="TOC1"/>
            <w:tabs>
              <w:tab w:val="left" w:pos="880"/>
            </w:tabs>
            <w:rPr>
              <w:rFonts w:eastAsiaTheme="minorEastAsia"/>
              <w:noProof/>
              <w:lang w:val="bs-Latn-BA" w:eastAsia="bs-Latn-BA"/>
            </w:rPr>
          </w:pPr>
          <w:hyperlink w:anchor="_Toc182901244" w:history="1">
            <w:r w:rsidR="002E5EAD" w:rsidRPr="00A17167">
              <w:rPr>
                <w:rStyle w:val="Hyperlink"/>
                <w:rFonts w:eastAsia="Calibri"/>
                <w:noProof/>
              </w:rPr>
              <w:t>1)</w:t>
            </w:r>
            <w:r w:rsidR="002E5EAD">
              <w:rPr>
                <w:rFonts w:eastAsiaTheme="minorEastAsia"/>
                <w:noProof/>
                <w:lang w:val="bs-Latn-BA" w:eastAsia="bs-Latn-BA"/>
              </w:rPr>
              <w:tab/>
            </w:r>
            <w:r w:rsidR="002E5EAD" w:rsidRPr="00A17167">
              <w:rPr>
                <w:rStyle w:val="Hyperlink"/>
                <w:rFonts w:eastAsia="Calibri"/>
                <w:noProof/>
              </w:rPr>
              <w:t>Opis nadležnosti suda, s vizijom i izjavom o misiji. Mandat, misija i vizija</w:t>
            </w:r>
            <w:r w:rsidR="002E5EAD">
              <w:rPr>
                <w:noProof/>
                <w:webHidden/>
              </w:rPr>
              <w:tab/>
            </w:r>
            <w:r w:rsidR="002E5EAD">
              <w:rPr>
                <w:noProof/>
                <w:webHidden/>
              </w:rPr>
              <w:fldChar w:fldCharType="begin"/>
            </w:r>
            <w:r w:rsidR="002E5EAD">
              <w:rPr>
                <w:noProof/>
                <w:webHidden/>
              </w:rPr>
              <w:instrText xml:space="preserve"> PAGEREF _Toc182901244 \h </w:instrText>
            </w:r>
            <w:r w:rsidR="002E5EAD">
              <w:rPr>
                <w:noProof/>
                <w:webHidden/>
              </w:rPr>
            </w:r>
            <w:r w:rsidR="002E5EAD">
              <w:rPr>
                <w:noProof/>
                <w:webHidden/>
              </w:rPr>
              <w:fldChar w:fldCharType="separate"/>
            </w:r>
            <w:r w:rsidR="002E5EAD">
              <w:rPr>
                <w:noProof/>
                <w:webHidden/>
              </w:rPr>
              <w:t>4</w:t>
            </w:r>
            <w:r w:rsidR="002E5EAD">
              <w:rPr>
                <w:noProof/>
                <w:webHidden/>
              </w:rPr>
              <w:fldChar w:fldCharType="end"/>
            </w:r>
          </w:hyperlink>
        </w:p>
        <w:p w:rsidR="002E5EAD" w:rsidRDefault="00904951">
          <w:pPr>
            <w:pStyle w:val="TOC1"/>
            <w:tabs>
              <w:tab w:val="left" w:pos="880"/>
            </w:tabs>
            <w:rPr>
              <w:rFonts w:eastAsiaTheme="minorEastAsia"/>
              <w:noProof/>
              <w:lang w:val="bs-Latn-BA" w:eastAsia="bs-Latn-BA"/>
            </w:rPr>
          </w:pPr>
          <w:hyperlink w:anchor="_Toc182901245" w:history="1">
            <w:r w:rsidR="002E5EAD" w:rsidRPr="00A17167">
              <w:rPr>
                <w:rStyle w:val="Hyperlink"/>
                <w:noProof/>
              </w:rPr>
              <w:t>2)</w:t>
            </w:r>
            <w:r w:rsidR="002E5EAD">
              <w:rPr>
                <w:rFonts w:eastAsiaTheme="minorEastAsia"/>
                <w:noProof/>
                <w:lang w:val="bs-Latn-BA" w:eastAsia="bs-Latn-BA"/>
              </w:rPr>
              <w:tab/>
            </w:r>
            <w:r w:rsidR="002E5EAD" w:rsidRPr="00A17167">
              <w:rPr>
                <w:rStyle w:val="Hyperlink"/>
                <w:rFonts w:eastAsia="Calibri"/>
                <w:noProof/>
              </w:rPr>
              <w:t>Sažetak analize strateškog okvira</w:t>
            </w:r>
            <w:r w:rsidR="002E5EAD">
              <w:rPr>
                <w:noProof/>
                <w:webHidden/>
              </w:rPr>
              <w:tab/>
            </w:r>
            <w:r w:rsidR="002E5EAD">
              <w:rPr>
                <w:noProof/>
                <w:webHidden/>
              </w:rPr>
              <w:fldChar w:fldCharType="begin"/>
            </w:r>
            <w:r w:rsidR="002E5EAD">
              <w:rPr>
                <w:noProof/>
                <w:webHidden/>
              </w:rPr>
              <w:instrText xml:space="preserve"> PAGEREF _Toc182901245 \h </w:instrText>
            </w:r>
            <w:r w:rsidR="002E5EAD">
              <w:rPr>
                <w:noProof/>
                <w:webHidden/>
              </w:rPr>
            </w:r>
            <w:r w:rsidR="002E5EAD">
              <w:rPr>
                <w:noProof/>
                <w:webHidden/>
              </w:rPr>
              <w:fldChar w:fldCharType="separate"/>
            </w:r>
            <w:r w:rsidR="002E5EAD">
              <w:rPr>
                <w:noProof/>
                <w:webHidden/>
              </w:rPr>
              <w:t>5</w:t>
            </w:r>
            <w:r w:rsidR="002E5EAD">
              <w:rPr>
                <w:noProof/>
                <w:webHidden/>
              </w:rPr>
              <w:fldChar w:fldCharType="end"/>
            </w:r>
          </w:hyperlink>
        </w:p>
        <w:p w:rsidR="002E5EAD" w:rsidRDefault="00904951">
          <w:pPr>
            <w:pStyle w:val="TOC1"/>
            <w:tabs>
              <w:tab w:val="left" w:pos="880"/>
            </w:tabs>
            <w:rPr>
              <w:rFonts w:eastAsiaTheme="minorEastAsia"/>
              <w:noProof/>
              <w:lang w:val="bs-Latn-BA" w:eastAsia="bs-Latn-BA"/>
            </w:rPr>
          </w:pPr>
          <w:hyperlink w:anchor="_Toc182901246" w:history="1">
            <w:r w:rsidR="002E5EAD" w:rsidRPr="00A17167">
              <w:rPr>
                <w:rStyle w:val="Hyperlink"/>
                <w:noProof/>
              </w:rPr>
              <w:t>3)</w:t>
            </w:r>
            <w:r w:rsidR="002E5EAD">
              <w:rPr>
                <w:rFonts w:eastAsiaTheme="minorEastAsia"/>
                <w:noProof/>
                <w:lang w:val="bs-Latn-BA" w:eastAsia="bs-Latn-BA"/>
              </w:rPr>
              <w:tab/>
            </w:r>
            <w:r w:rsidR="002E5EAD" w:rsidRPr="00A17167">
              <w:rPr>
                <w:rStyle w:val="Hyperlink"/>
                <w:noProof/>
              </w:rPr>
              <w:t xml:space="preserve">Pregled strateških i trogodišnjih </w:t>
            </w:r>
            <w:r w:rsidR="002E5EAD" w:rsidRPr="00A17167">
              <w:rPr>
                <w:rStyle w:val="Hyperlink"/>
                <w:rFonts w:eastAsia="Calibri"/>
                <w:noProof/>
              </w:rPr>
              <w:t>ciljeva za period strateškog planiranja</w:t>
            </w:r>
            <w:r w:rsidR="002E5EAD">
              <w:rPr>
                <w:noProof/>
                <w:webHidden/>
              </w:rPr>
              <w:tab/>
            </w:r>
            <w:r w:rsidR="002E5EAD">
              <w:rPr>
                <w:noProof/>
                <w:webHidden/>
              </w:rPr>
              <w:fldChar w:fldCharType="begin"/>
            </w:r>
            <w:r w:rsidR="002E5EAD">
              <w:rPr>
                <w:noProof/>
                <w:webHidden/>
              </w:rPr>
              <w:instrText xml:space="preserve"> PAGEREF _Toc182901246 \h </w:instrText>
            </w:r>
            <w:r w:rsidR="002E5EAD">
              <w:rPr>
                <w:noProof/>
                <w:webHidden/>
              </w:rPr>
            </w:r>
            <w:r w:rsidR="002E5EAD">
              <w:rPr>
                <w:noProof/>
                <w:webHidden/>
              </w:rPr>
              <w:fldChar w:fldCharType="separate"/>
            </w:r>
            <w:r w:rsidR="002E5EAD">
              <w:rPr>
                <w:noProof/>
                <w:webHidden/>
              </w:rPr>
              <w:t>7</w:t>
            </w:r>
            <w:r w:rsidR="002E5EAD">
              <w:rPr>
                <w:noProof/>
                <w:webHidden/>
              </w:rPr>
              <w:fldChar w:fldCharType="end"/>
            </w:r>
          </w:hyperlink>
        </w:p>
        <w:p w:rsidR="002E5EAD" w:rsidRDefault="00904951">
          <w:pPr>
            <w:pStyle w:val="TOC1"/>
            <w:tabs>
              <w:tab w:val="left" w:pos="880"/>
            </w:tabs>
            <w:rPr>
              <w:rFonts w:eastAsiaTheme="minorEastAsia"/>
              <w:noProof/>
              <w:lang w:val="bs-Latn-BA" w:eastAsia="bs-Latn-BA"/>
            </w:rPr>
          </w:pPr>
          <w:hyperlink w:anchor="_Toc182901247" w:history="1">
            <w:r w:rsidR="002E5EAD" w:rsidRPr="00A17167">
              <w:rPr>
                <w:rStyle w:val="Hyperlink"/>
                <w:noProof/>
              </w:rPr>
              <w:t>4)</w:t>
            </w:r>
            <w:r w:rsidR="002E5EAD">
              <w:rPr>
                <w:rFonts w:eastAsiaTheme="minorEastAsia"/>
                <w:noProof/>
                <w:lang w:val="bs-Latn-BA" w:eastAsia="bs-Latn-BA"/>
              </w:rPr>
              <w:tab/>
            </w:r>
            <w:r w:rsidR="002E5EAD" w:rsidRPr="00A17167">
              <w:rPr>
                <w:rStyle w:val="Hyperlink"/>
                <w:rFonts w:eastAsia="Calibri"/>
                <w:noProof/>
              </w:rPr>
              <w:t>Sažetak prioriteta za plansku godinu, kao i procjene mogućih problema i rizika u realizaciji</w:t>
            </w:r>
            <w:r w:rsidR="002E5EAD">
              <w:rPr>
                <w:noProof/>
                <w:webHidden/>
              </w:rPr>
              <w:tab/>
            </w:r>
            <w:r w:rsidR="002E5EAD">
              <w:rPr>
                <w:noProof/>
                <w:webHidden/>
              </w:rPr>
              <w:fldChar w:fldCharType="begin"/>
            </w:r>
            <w:r w:rsidR="002E5EAD">
              <w:rPr>
                <w:noProof/>
                <w:webHidden/>
              </w:rPr>
              <w:instrText xml:space="preserve"> PAGEREF _Toc182901247 \h </w:instrText>
            </w:r>
            <w:r w:rsidR="002E5EAD">
              <w:rPr>
                <w:noProof/>
                <w:webHidden/>
              </w:rPr>
            </w:r>
            <w:r w:rsidR="002E5EAD">
              <w:rPr>
                <w:noProof/>
                <w:webHidden/>
              </w:rPr>
              <w:fldChar w:fldCharType="separate"/>
            </w:r>
            <w:r w:rsidR="002E5EAD">
              <w:rPr>
                <w:noProof/>
                <w:webHidden/>
              </w:rPr>
              <w:t>8</w:t>
            </w:r>
            <w:r w:rsidR="002E5EAD">
              <w:rPr>
                <w:noProof/>
                <w:webHidden/>
              </w:rPr>
              <w:fldChar w:fldCharType="end"/>
            </w:r>
          </w:hyperlink>
        </w:p>
        <w:p w:rsidR="002E5EAD" w:rsidRDefault="00904951">
          <w:pPr>
            <w:pStyle w:val="TOC1"/>
            <w:tabs>
              <w:tab w:val="left" w:pos="880"/>
            </w:tabs>
            <w:rPr>
              <w:rFonts w:eastAsiaTheme="minorEastAsia"/>
              <w:noProof/>
              <w:lang w:val="bs-Latn-BA" w:eastAsia="bs-Latn-BA"/>
            </w:rPr>
          </w:pPr>
          <w:hyperlink w:anchor="_Toc182901248" w:history="1">
            <w:r w:rsidR="002E5EAD" w:rsidRPr="00A17167">
              <w:rPr>
                <w:rStyle w:val="Hyperlink"/>
                <w:noProof/>
              </w:rPr>
              <w:t>4)</w:t>
            </w:r>
            <w:r w:rsidR="002E5EAD">
              <w:rPr>
                <w:rFonts w:eastAsiaTheme="minorEastAsia"/>
                <w:noProof/>
                <w:lang w:val="bs-Latn-BA" w:eastAsia="bs-Latn-BA"/>
              </w:rPr>
              <w:tab/>
            </w:r>
            <w:r w:rsidR="002E5EAD" w:rsidRPr="00A17167">
              <w:rPr>
                <w:rStyle w:val="Hyperlink"/>
                <w:rFonts w:eastAsia="Calibri"/>
                <w:noProof/>
              </w:rPr>
              <w:t>Analiza unutarnjeg i vanjskog okruženja u kojem radi sud</w:t>
            </w:r>
            <w:r w:rsidR="002E5EAD">
              <w:rPr>
                <w:noProof/>
                <w:webHidden/>
              </w:rPr>
              <w:tab/>
            </w:r>
            <w:r w:rsidR="002E5EAD">
              <w:rPr>
                <w:noProof/>
                <w:webHidden/>
              </w:rPr>
              <w:fldChar w:fldCharType="begin"/>
            </w:r>
            <w:r w:rsidR="002E5EAD">
              <w:rPr>
                <w:noProof/>
                <w:webHidden/>
              </w:rPr>
              <w:instrText xml:space="preserve"> PAGEREF _Toc182901248 \h </w:instrText>
            </w:r>
            <w:r w:rsidR="002E5EAD">
              <w:rPr>
                <w:noProof/>
                <w:webHidden/>
              </w:rPr>
            </w:r>
            <w:r w:rsidR="002E5EAD">
              <w:rPr>
                <w:noProof/>
                <w:webHidden/>
              </w:rPr>
              <w:fldChar w:fldCharType="separate"/>
            </w:r>
            <w:r w:rsidR="002E5EAD">
              <w:rPr>
                <w:noProof/>
                <w:webHidden/>
              </w:rPr>
              <w:t>11</w:t>
            </w:r>
            <w:r w:rsidR="002E5EAD">
              <w:rPr>
                <w:noProof/>
                <w:webHidden/>
              </w:rPr>
              <w:fldChar w:fldCharType="end"/>
            </w:r>
          </w:hyperlink>
        </w:p>
        <w:p w:rsidR="002E5EAD" w:rsidRDefault="00904951">
          <w:pPr>
            <w:pStyle w:val="TOC1"/>
            <w:rPr>
              <w:rFonts w:eastAsiaTheme="minorEastAsia"/>
              <w:noProof/>
              <w:lang w:val="bs-Latn-BA" w:eastAsia="bs-Latn-BA"/>
            </w:rPr>
          </w:pPr>
          <w:hyperlink w:anchor="_Toc182901249" w:history="1">
            <w:r w:rsidR="002E5EAD" w:rsidRPr="00A17167">
              <w:rPr>
                <w:rStyle w:val="Hyperlink"/>
                <w:noProof/>
              </w:rPr>
              <w:t>B. Pregled ciljeva i godišnjih aktivnosti po strateškim i trogodišnjim ciljevima</w:t>
            </w:r>
            <w:r w:rsidR="002E5EAD">
              <w:rPr>
                <w:noProof/>
                <w:webHidden/>
              </w:rPr>
              <w:tab/>
            </w:r>
            <w:r w:rsidR="002E5EAD">
              <w:rPr>
                <w:noProof/>
                <w:webHidden/>
              </w:rPr>
              <w:fldChar w:fldCharType="begin"/>
            </w:r>
            <w:r w:rsidR="002E5EAD">
              <w:rPr>
                <w:noProof/>
                <w:webHidden/>
              </w:rPr>
              <w:instrText xml:space="preserve"> PAGEREF _Toc182901249 \h </w:instrText>
            </w:r>
            <w:r w:rsidR="002E5EAD">
              <w:rPr>
                <w:noProof/>
                <w:webHidden/>
              </w:rPr>
            </w:r>
            <w:r w:rsidR="002E5EAD">
              <w:rPr>
                <w:noProof/>
                <w:webHidden/>
              </w:rPr>
              <w:fldChar w:fldCharType="separate"/>
            </w:r>
            <w:r w:rsidR="002E5EAD">
              <w:rPr>
                <w:noProof/>
                <w:webHidden/>
              </w:rPr>
              <w:t>12</w:t>
            </w:r>
            <w:r w:rsidR="002E5EAD">
              <w:rPr>
                <w:noProof/>
                <w:webHidden/>
              </w:rPr>
              <w:fldChar w:fldCharType="end"/>
            </w:r>
          </w:hyperlink>
        </w:p>
        <w:p w:rsidR="002E5EAD" w:rsidRDefault="00904951">
          <w:pPr>
            <w:pStyle w:val="TOC1"/>
            <w:tabs>
              <w:tab w:val="left" w:pos="880"/>
            </w:tabs>
            <w:rPr>
              <w:rFonts w:eastAsiaTheme="minorEastAsia"/>
              <w:noProof/>
              <w:lang w:val="bs-Latn-BA" w:eastAsia="bs-Latn-BA"/>
            </w:rPr>
          </w:pPr>
          <w:hyperlink w:anchor="_Toc182901250" w:history="1">
            <w:r w:rsidR="002E5EAD" w:rsidRPr="00A17167">
              <w:rPr>
                <w:rStyle w:val="Hyperlink"/>
                <w:noProof/>
              </w:rPr>
              <w:t>C.</w:t>
            </w:r>
            <w:r w:rsidR="002E5EAD">
              <w:rPr>
                <w:rFonts w:eastAsiaTheme="minorEastAsia"/>
                <w:noProof/>
                <w:lang w:val="bs-Latn-BA" w:eastAsia="bs-Latn-BA"/>
              </w:rPr>
              <w:tab/>
            </w:r>
            <w:r w:rsidR="002E5EAD" w:rsidRPr="00A17167">
              <w:rPr>
                <w:rStyle w:val="Hyperlink"/>
                <w:noProof/>
              </w:rPr>
              <w:t>Godišnji plan rješavanja sudskih predmeta</w:t>
            </w:r>
            <w:r w:rsidR="002E5EAD">
              <w:rPr>
                <w:noProof/>
                <w:webHidden/>
              </w:rPr>
              <w:tab/>
            </w:r>
            <w:r w:rsidR="002E5EAD">
              <w:rPr>
                <w:noProof/>
                <w:webHidden/>
              </w:rPr>
              <w:fldChar w:fldCharType="begin"/>
            </w:r>
            <w:r w:rsidR="002E5EAD">
              <w:rPr>
                <w:noProof/>
                <w:webHidden/>
              </w:rPr>
              <w:instrText xml:space="preserve"> PAGEREF _Toc182901250 \h </w:instrText>
            </w:r>
            <w:r w:rsidR="002E5EAD">
              <w:rPr>
                <w:noProof/>
                <w:webHidden/>
              </w:rPr>
            </w:r>
            <w:r w:rsidR="002E5EAD">
              <w:rPr>
                <w:noProof/>
                <w:webHidden/>
              </w:rPr>
              <w:fldChar w:fldCharType="separate"/>
            </w:r>
            <w:r w:rsidR="002E5EAD">
              <w:rPr>
                <w:noProof/>
                <w:webHidden/>
              </w:rPr>
              <w:t>15</w:t>
            </w:r>
            <w:r w:rsidR="002E5EAD">
              <w:rPr>
                <w:noProof/>
                <w:webHidden/>
              </w:rPr>
              <w:fldChar w:fldCharType="end"/>
            </w:r>
          </w:hyperlink>
        </w:p>
        <w:p w:rsidR="002E5EAD" w:rsidRDefault="00904951">
          <w:pPr>
            <w:pStyle w:val="TOC1"/>
            <w:rPr>
              <w:rFonts w:eastAsiaTheme="minorEastAsia"/>
              <w:noProof/>
              <w:lang w:val="bs-Latn-BA" w:eastAsia="bs-Latn-BA"/>
            </w:rPr>
          </w:pPr>
          <w:hyperlink w:anchor="_Toc182901251" w:history="1">
            <w:r w:rsidR="002E5EAD" w:rsidRPr="00A17167">
              <w:rPr>
                <w:rStyle w:val="Hyperlink"/>
                <w:noProof/>
              </w:rPr>
              <w:t>D. Ostale informacije</w:t>
            </w:r>
            <w:r w:rsidR="002E5EAD">
              <w:rPr>
                <w:noProof/>
                <w:webHidden/>
              </w:rPr>
              <w:tab/>
            </w:r>
            <w:r w:rsidR="002E5EAD">
              <w:rPr>
                <w:noProof/>
                <w:webHidden/>
              </w:rPr>
              <w:fldChar w:fldCharType="begin"/>
            </w:r>
            <w:r w:rsidR="002E5EAD">
              <w:rPr>
                <w:noProof/>
                <w:webHidden/>
              </w:rPr>
              <w:instrText xml:space="preserve"> PAGEREF _Toc182901251 \h </w:instrText>
            </w:r>
            <w:r w:rsidR="002E5EAD">
              <w:rPr>
                <w:noProof/>
                <w:webHidden/>
              </w:rPr>
            </w:r>
            <w:r w:rsidR="002E5EAD">
              <w:rPr>
                <w:noProof/>
                <w:webHidden/>
              </w:rPr>
              <w:fldChar w:fldCharType="separate"/>
            </w:r>
            <w:r w:rsidR="002E5EAD">
              <w:rPr>
                <w:noProof/>
                <w:webHidden/>
              </w:rPr>
              <w:t>15</w:t>
            </w:r>
            <w:r w:rsidR="002E5EAD">
              <w:rPr>
                <w:noProof/>
                <w:webHidden/>
              </w:rPr>
              <w:fldChar w:fldCharType="end"/>
            </w:r>
          </w:hyperlink>
        </w:p>
        <w:p w:rsidR="00A562D3" w:rsidRPr="000D7707" w:rsidRDefault="00A562D3" w:rsidP="00A562D3">
          <w:pPr>
            <w:tabs>
              <w:tab w:val="left" w:pos="426"/>
            </w:tabs>
            <w:ind w:left="0"/>
            <w:rPr>
              <w:rFonts w:ascii="Arial" w:hAnsi="Arial" w:cs="Arial"/>
              <w:w w:val="95"/>
              <w:sz w:val="24"/>
              <w:szCs w:val="24"/>
              <w:lang w:val="hr-HR"/>
            </w:rPr>
          </w:pPr>
          <w:r w:rsidRPr="007B4448">
            <w:rPr>
              <w:rFonts w:cstheme="minorHAnsi"/>
              <w:b/>
              <w:bCs/>
              <w:noProof/>
              <w:w w:val="95"/>
              <w:lang w:val="hr-HR"/>
            </w:rPr>
            <w:fldChar w:fldCharType="end"/>
          </w:r>
        </w:p>
      </w:sdtContent>
    </w:sdt>
    <w:p w:rsidR="00A562D3" w:rsidRPr="009336F9" w:rsidRDefault="00A562D3" w:rsidP="00A562D3">
      <w:pPr>
        <w:ind w:left="0"/>
        <w:rPr>
          <w:rFonts w:ascii="Arial" w:eastAsia="Times New Roman" w:hAnsi="Arial" w:cs="Arial"/>
          <w:w w:val="95"/>
          <w:sz w:val="24"/>
          <w:szCs w:val="24"/>
          <w:lang w:val="hr-HR"/>
        </w:rPr>
      </w:pPr>
      <w:bookmarkStart w:id="10" w:name="_Toc29479784"/>
      <w:bookmarkStart w:id="11" w:name="_Toc39666946"/>
      <w:r>
        <w:rPr>
          <w:rFonts w:ascii="Arial" w:eastAsia="Times New Roman" w:hAnsi="Arial" w:cs="Arial"/>
          <w:w w:val="95"/>
          <w:sz w:val="24"/>
          <w:szCs w:val="24"/>
          <w:lang w:val="hr-HR"/>
        </w:rPr>
        <w:tab/>
      </w:r>
      <w:r w:rsidRPr="009336F9">
        <w:rPr>
          <w:rFonts w:ascii="Arial" w:eastAsia="Times New Roman" w:hAnsi="Arial" w:cs="Arial"/>
          <w:w w:val="95"/>
          <w:sz w:val="24"/>
          <w:szCs w:val="24"/>
          <w:lang w:val="hr-HR"/>
        </w:rPr>
        <w:br w:type="page"/>
      </w:r>
    </w:p>
    <w:p w:rsidR="00A562D3" w:rsidRPr="00F950F6" w:rsidRDefault="00A562D3" w:rsidP="00A562D3">
      <w:pPr>
        <w:pStyle w:val="Heading1"/>
        <w:numPr>
          <w:ilvl w:val="0"/>
          <w:numId w:val="15"/>
        </w:numPr>
        <w:rPr>
          <w:szCs w:val="22"/>
        </w:rPr>
      </w:pPr>
      <w:bookmarkStart w:id="12" w:name="_Toc182901243"/>
      <w:r w:rsidRPr="00F950F6">
        <w:rPr>
          <w:szCs w:val="22"/>
        </w:rPr>
        <w:lastRenderedPageBreak/>
        <w:t>Uvod</w:t>
      </w:r>
      <w:bookmarkEnd w:id="10"/>
      <w:bookmarkEnd w:id="11"/>
      <w:bookmarkEnd w:id="12"/>
    </w:p>
    <w:p w:rsidR="00A562D3" w:rsidRPr="007B4448" w:rsidRDefault="00A562D3" w:rsidP="00A562D3">
      <w:pPr>
        <w:rPr>
          <w:rFonts w:ascii="Arial" w:hAnsi="Arial" w:cs="Arial"/>
          <w:lang w:val="hr-HR"/>
        </w:rPr>
      </w:pPr>
    </w:p>
    <w:p w:rsidR="00A562D3" w:rsidRPr="007B4448" w:rsidRDefault="00A562D3" w:rsidP="00A562D3">
      <w:pPr>
        <w:ind w:left="0"/>
        <w:jc w:val="both"/>
        <w:rPr>
          <w:rFonts w:ascii="Arial" w:hAnsi="Arial" w:cs="Arial"/>
          <w:w w:val="95"/>
          <w:lang w:val="hr-HR"/>
        </w:rPr>
      </w:pPr>
      <w:r w:rsidRPr="007B4448">
        <w:rPr>
          <w:rFonts w:ascii="Arial" w:hAnsi="Arial" w:cs="Arial"/>
          <w:w w:val="95"/>
          <w:lang w:val="hr-HR"/>
        </w:rPr>
        <w:t>(Unijeti svrhu i cilj strateškog planiranja i izrada godišnjeg programa rada. Tekst ne bi trebao da prelazi više od jedne i pol stranice. Osnov u preambuli navesti odredbe Zakona o sudovima i Pravilnika o unutrašnjem sudskom poslovanju. Možete ukratko navesti historijat suda)</w:t>
      </w:r>
    </w:p>
    <w:p w:rsidR="00A562D3" w:rsidRPr="007B4448" w:rsidRDefault="00A562D3" w:rsidP="00A562D3">
      <w:pPr>
        <w:ind w:left="0"/>
        <w:jc w:val="both"/>
        <w:rPr>
          <w:rFonts w:ascii="Arial" w:hAnsi="Arial" w:cs="Arial"/>
          <w:w w:val="95"/>
          <w:lang w:val="hr-HR"/>
        </w:rPr>
      </w:pPr>
    </w:p>
    <w:p w:rsidR="00A562D3" w:rsidRPr="007B4448" w:rsidRDefault="00A562D3" w:rsidP="00A562D3">
      <w:pPr>
        <w:ind w:left="0"/>
        <w:jc w:val="both"/>
        <w:rPr>
          <w:rFonts w:ascii="Arial" w:hAnsi="Arial" w:cs="Arial"/>
          <w:w w:val="95"/>
          <w:lang w:val="sr-Latn-BA"/>
        </w:rPr>
      </w:pPr>
      <w:r w:rsidRPr="007B4448">
        <w:rPr>
          <w:rFonts w:ascii="Arial" w:hAnsi="Arial" w:cs="Arial"/>
          <w:w w:val="95"/>
          <w:lang w:val="sr-Latn-BA"/>
        </w:rPr>
        <w:t xml:space="preserve">Jedna od obaveza predsjednika suda jeste proces izrade strateškog plana rada, te godišnjeg programa rada suda,kojim će se odrediti ciljevi koji se žele postići u godini za koju se donosi program rada. </w:t>
      </w:r>
    </w:p>
    <w:p w:rsidR="00A562D3" w:rsidRPr="007B4448" w:rsidRDefault="00A562D3" w:rsidP="00A562D3">
      <w:pPr>
        <w:ind w:left="0"/>
        <w:jc w:val="both"/>
        <w:rPr>
          <w:rFonts w:ascii="Arial" w:hAnsi="Arial" w:cs="Arial"/>
          <w:w w:val="95"/>
          <w:sz w:val="24"/>
          <w:szCs w:val="24"/>
          <w:lang w:val="sr-Latn-BA"/>
        </w:rPr>
      </w:pPr>
    </w:p>
    <w:p w:rsidR="00A562D3" w:rsidRPr="007B4448" w:rsidRDefault="00A562D3" w:rsidP="00A562D3">
      <w:pPr>
        <w:ind w:left="0"/>
        <w:jc w:val="both"/>
        <w:rPr>
          <w:rFonts w:ascii="Arial" w:hAnsi="Arial" w:cs="Arial"/>
        </w:rPr>
      </w:pPr>
      <w:r w:rsidRPr="007B4448">
        <w:rPr>
          <w:rFonts w:ascii="Arial" w:hAnsi="Arial" w:cs="Arial"/>
        </w:rPr>
        <w:t xml:space="preserve">Na osnovu člana 48. stav 2. Zakona o sudovima RS („Službeni glasnik RS“ broj 37/12, 44/15 i 100/17) i člana 8. stav 1. tačka đ) Pravilnika o unutrašnjem sudskom poslovanju („Službeni glasnik RS“ broj 9/14, 71/17, 67/18 I 6/19), predsjednik suda donos: Strateški program rada za 2025 - 2027. godinu za Okružni sud u Trebinju. </w:t>
      </w:r>
    </w:p>
    <w:p w:rsidR="00A562D3" w:rsidRPr="007B4448" w:rsidRDefault="00A562D3" w:rsidP="00A562D3">
      <w:pPr>
        <w:ind w:left="0"/>
        <w:jc w:val="both"/>
        <w:rPr>
          <w:rFonts w:ascii="Arial" w:hAnsi="Arial" w:cs="Arial"/>
        </w:rPr>
      </w:pPr>
    </w:p>
    <w:p w:rsidR="00A562D3" w:rsidRPr="00731F76" w:rsidRDefault="00A562D3" w:rsidP="00A562D3">
      <w:pPr>
        <w:ind w:left="0"/>
        <w:jc w:val="both"/>
        <w:rPr>
          <w:rFonts w:ascii="Arial" w:hAnsi="Arial" w:cs="Arial"/>
        </w:rPr>
      </w:pPr>
      <w:r w:rsidRPr="007B4448">
        <w:rPr>
          <w:rFonts w:ascii="Arial" w:hAnsi="Arial" w:cs="Arial"/>
        </w:rPr>
        <w:t xml:space="preserve">Strateški plan rada suda predstavlja dokument koji definiše strateške ciljeve, trogodišnje ciljeve </w:t>
      </w:r>
      <w:r w:rsidR="00FB2E6C">
        <w:rPr>
          <w:rFonts w:ascii="Arial" w:hAnsi="Arial" w:cs="Arial"/>
        </w:rPr>
        <w:t xml:space="preserve">i </w:t>
      </w:r>
      <w:r w:rsidRPr="007B4448">
        <w:rPr>
          <w:rFonts w:ascii="Arial" w:hAnsi="Arial" w:cs="Arial"/>
        </w:rPr>
        <w:t>aktivnosti koje proizilaze iz pojedinačnih nadležnost</w:t>
      </w:r>
      <w:r w:rsidRPr="00731F76">
        <w:rPr>
          <w:rFonts w:ascii="Arial" w:hAnsi="Arial" w:cs="Arial"/>
        </w:rPr>
        <w:t>i sudova u Bosni i Hercegovini i relevantnih strateških dokumenata.</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r w:rsidRPr="00D6413F">
        <w:rPr>
          <w:rFonts w:ascii="Arial" w:hAnsi="Arial" w:cs="Arial"/>
        </w:rPr>
        <w:t>Strateško planiranje je proces usmjeren ka donošenju najvažnijih odluka i utvrđivanju najvažnijih aktivnosti, koje oblikuju jedan sud i ukazuju šta je to što taj sud predstavlja, šta želi postići, te kako planira postići željene ciljeve.</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w w:val="95"/>
          <w:sz w:val="24"/>
          <w:szCs w:val="24"/>
          <w:lang w:val="hr-HR"/>
        </w:rPr>
      </w:pPr>
      <w:r w:rsidRPr="00D6413F">
        <w:rPr>
          <w:rFonts w:ascii="Arial" w:hAnsi="Arial" w:cs="Arial"/>
        </w:rPr>
        <w:t>Osnovni cilj strateškog planiranja je da jasno utvrdi prirodu i karakter organizacije i sektora kojem ta organizacija pripada i da upravlja njenim razvojem u budućnosti. Kroz proces strateškog planiranja sud utvrđuje svoje ciljeve, prioritete, te definiše mjere i aktivnosti, ali vrši i procjenu uspješnosti ostvarenja tih ciljeva. Jedna od bitnih uloga strateškog planiranja jeste da osigura i dosljednu primjenu i provođenje mandata i nadležnosti suda, a koji su propisani zakonima i drugim relevantnim propisima.</w:t>
      </w:r>
    </w:p>
    <w:p w:rsidR="00A562D3" w:rsidRPr="00D6413F" w:rsidRDefault="00A562D3" w:rsidP="00A562D3">
      <w:pPr>
        <w:ind w:left="0"/>
        <w:jc w:val="both"/>
        <w:rPr>
          <w:rFonts w:ascii="Arial" w:hAnsi="Arial" w:cs="Arial"/>
          <w:w w:val="95"/>
          <w:lang w:val="hr-HR"/>
        </w:rPr>
      </w:pPr>
    </w:p>
    <w:p w:rsidR="00A562D3" w:rsidRPr="00D6413F" w:rsidRDefault="00A562D3" w:rsidP="00A562D3">
      <w:pPr>
        <w:ind w:left="0"/>
        <w:jc w:val="both"/>
        <w:rPr>
          <w:rFonts w:ascii="Arial" w:hAnsi="Arial" w:cs="Arial"/>
          <w:w w:val="95"/>
          <w:lang w:val="hr-HR"/>
        </w:rPr>
      </w:pPr>
      <w:r w:rsidRPr="00D6413F">
        <w:rPr>
          <w:rFonts w:ascii="Arial" w:hAnsi="Arial" w:cs="Arial"/>
          <w:w w:val="95"/>
          <w:lang w:val="hr-HR"/>
        </w:rPr>
        <w:t>Program rada Okružnog suda u Trebinju za 2025. godinu predviđa realizaciju zadataka i poslova iz obavljanja sudske funkcije u granicama nadležnosti koje proizilaze iz Ustava BiH, Ustava Republike Srpske, Zakona o sudovima u Republici Srpskoj, Zakona o Visokom sudskom i tužilačkom savjetu BiH, te drugih zakonskih i podzakonskih propisa kojima se reguliše nadležnost sudova. Ovim Programom rada osiguravaju se uslovi za blagovremeno, efikasno i kvalitetno obavljanje poslova iz utvrđene nadležnosti suda.</w:t>
      </w:r>
    </w:p>
    <w:p w:rsidR="00A562D3" w:rsidRPr="00D6413F" w:rsidRDefault="00A562D3" w:rsidP="00A562D3">
      <w:pPr>
        <w:ind w:left="0"/>
        <w:jc w:val="both"/>
        <w:rPr>
          <w:rFonts w:ascii="Arial" w:hAnsi="Arial" w:cs="Arial"/>
          <w:w w:val="95"/>
          <w:lang w:val="hr-HR"/>
        </w:rPr>
      </w:pPr>
    </w:p>
    <w:p w:rsidR="00A562D3" w:rsidRPr="00D6413F" w:rsidRDefault="00A562D3" w:rsidP="00A562D3">
      <w:pPr>
        <w:ind w:left="0"/>
        <w:jc w:val="both"/>
        <w:rPr>
          <w:rFonts w:ascii="Arial" w:hAnsi="Arial" w:cs="Arial"/>
          <w:w w:val="95"/>
          <w:lang w:val="hr-HR"/>
        </w:rPr>
      </w:pPr>
      <w:r w:rsidRPr="00D6413F">
        <w:rPr>
          <w:rFonts w:ascii="Arial" w:hAnsi="Arial" w:cs="Arial"/>
          <w:w w:val="95"/>
          <w:lang w:val="hr-HR"/>
        </w:rPr>
        <w:t>Osnovni zadatak Okružnog suda u Trebinju u 2025. godini biće nastavak održavanja ažurnosti postignute u prošlom periodu u vezi svih poslova i zadataka u okviru nadležnosti suda, poboljšanje kvaliteta rada ili održavanja postignutog nivoa efikasnog izvršavanja svih poslova i zadataka koji proizilaze iz zakona i drugih pozitivnih propisa. U svom radu sud će davati prioritet u predmetima i postupcima koji se po zakonu smatraju hitnim. Sud će striktno postupati po planu rješavanja predmeta, kao i do sada. Pratiće se broj predmeta na upravnom referatu i vršiti ravnomjerna preraspodjela predmeta u slučaju većeg priliva upravnih tužbi. Takođe će se nastojati da u 202</w:t>
      </w:r>
      <w:r w:rsidRPr="00D6413F">
        <w:rPr>
          <w:rFonts w:ascii="Arial" w:hAnsi="Arial" w:cs="Arial"/>
          <w:w w:val="95"/>
          <w:lang w:val="bs-Latn-BA"/>
        </w:rPr>
        <w:t>5</w:t>
      </w:r>
      <w:r w:rsidRPr="00D6413F">
        <w:rPr>
          <w:rFonts w:ascii="Arial" w:hAnsi="Arial" w:cs="Arial"/>
          <w:w w:val="95"/>
          <w:lang w:val="hr-HR"/>
        </w:rPr>
        <w:t xml:space="preserve">.g. sud riješi sve predmete ratnog zločina koji se trenutno vode pred ovim sudom. </w:t>
      </w:r>
    </w:p>
    <w:p w:rsidR="00A562D3" w:rsidRPr="00D6413F" w:rsidRDefault="00A562D3" w:rsidP="00A562D3">
      <w:pPr>
        <w:ind w:left="0"/>
        <w:jc w:val="both"/>
        <w:rPr>
          <w:rFonts w:ascii="Arial" w:hAnsi="Arial" w:cs="Arial"/>
          <w:w w:val="95"/>
          <w:lang w:val="hr-HR"/>
        </w:rPr>
      </w:pPr>
    </w:p>
    <w:p w:rsidR="00A562D3" w:rsidRPr="00D6413F" w:rsidRDefault="00A562D3" w:rsidP="00A562D3">
      <w:pPr>
        <w:ind w:left="0"/>
        <w:jc w:val="both"/>
        <w:rPr>
          <w:rFonts w:ascii="Arial" w:hAnsi="Arial" w:cs="Arial"/>
          <w:w w:val="95"/>
          <w:lang w:val="hr-HR"/>
        </w:rPr>
      </w:pPr>
      <w:r w:rsidRPr="00D6413F">
        <w:rPr>
          <w:rFonts w:ascii="Arial" w:hAnsi="Arial" w:cs="Arial"/>
          <w:w w:val="95"/>
          <w:lang w:val="hr-HR"/>
        </w:rPr>
        <w:t>Okružni sud u Trebinju će nastojati da zadrži postojeći kvalitet sudskih odluka. Takođe će se poboljšati transparentnost rada suda.</w:t>
      </w:r>
    </w:p>
    <w:p w:rsidR="00A562D3" w:rsidRPr="00D6413F" w:rsidRDefault="00A562D3" w:rsidP="00A562D3">
      <w:pPr>
        <w:ind w:left="0"/>
        <w:jc w:val="both"/>
        <w:rPr>
          <w:rFonts w:ascii="Arial" w:hAnsi="Arial" w:cs="Arial"/>
          <w:w w:val="95"/>
          <w:lang w:val="hr-HR"/>
        </w:rPr>
      </w:pPr>
    </w:p>
    <w:p w:rsidR="00A562D3" w:rsidRPr="00D6413F" w:rsidRDefault="00A562D3" w:rsidP="00A562D3">
      <w:pPr>
        <w:ind w:left="0"/>
        <w:jc w:val="both"/>
        <w:rPr>
          <w:rFonts w:ascii="Arial" w:hAnsi="Arial" w:cs="Arial"/>
          <w:w w:val="95"/>
          <w:lang w:val="hr-HR"/>
        </w:rPr>
      </w:pPr>
      <w:r w:rsidRPr="00D6413F">
        <w:rPr>
          <w:rFonts w:ascii="Arial" w:hAnsi="Arial" w:cs="Arial"/>
          <w:w w:val="95"/>
          <w:lang w:val="hr-HR"/>
        </w:rPr>
        <w:t>Pri ostvarivanju postavljenih zadataka od strane zaposlenih u sudu zahtijevat će se odgovoran i profesionalan odnos prema radu i sredstvima rada uz maksimalne uštede i racionalno korištenje odobrenih budžetskih sredstava.</w:t>
      </w:r>
    </w:p>
    <w:p w:rsidR="00A562D3" w:rsidRPr="00E22A5E" w:rsidRDefault="00A562D3" w:rsidP="00A562D3">
      <w:pPr>
        <w:jc w:val="both"/>
        <w:rPr>
          <w:rFonts w:ascii="Arial" w:hAnsi="Arial" w:cs="Arial"/>
          <w:w w:val="95"/>
          <w:lang w:val="hr-HR"/>
        </w:rPr>
      </w:pPr>
    </w:p>
    <w:p w:rsidR="00A562D3" w:rsidRPr="00E22A5E" w:rsidRDefault="00A562D3" w:rsidP="00A562D3">
      <w:pPr>
        <w:jc w:val="both"/>
        <w:rPr>
          <w:rFonts w:ascii="Arial" w:hAnsi="Arial" w:cs="Arial"/>
          <w:w w:val="95"/>
          <w:lang w:val="hr-HR"/>
        </w:rPr>
      </w:pPr>
    </w:p>
    <w:p w:rsidR="00A562D3" w:rsidRPr="00E22A5E" w:rsidRDefault="00A562D3" w:rsidP="00A562D3">
      <w:pPr>
        <w:jc w:val="both"/>
        <w:rPr>
          <w:rFonts w:ascii="Arial" w:hAnsi="Arial" w:cs="Arial"/>
          <w:w w:val="95"/>
          <w:lang w:val="hr-HR"/>
        </w:rPr>
      </w:pPr>
    </w:p>
    <w:p w:rsidR="00A562D3" w:rsidRPr="00731F76" w:rsidRDefault="00A562D3" w:rsidP="00A562D3">
      <w:pPr>
        <w:ind w:left="0"/>
        <w:jc w:val="both"/>
        <w:rPr>
          <w:rFonts w:ascii="Arial" w:hAnsi="Arial" w:cs="Arial"/>
        </w:rPr>
      </w:pPr>
      <w:r w:rsidRPr="00731F76">
        <w:rPr>
          <w:rFonts w:ascii="Arial" w:hAnsi="Arial" w:cs="Arial"/>
        </w:rPr>
        <w:t>Ciljevi koje je ovaj sud postavio, proizilaze iz potreba sadašnjeg trenutka, ali u isto vrijeme vizijom gledaju i u budućnost, uzimajući u obzir postojeće potrebe, prilike i prepreke, a kako bi njihova realizacija u zadatom roku bila produkt svjesnog, racionalnog i u razumnoj mjeri ambicioznog strateškog planiranja.</w:t>
      </w:r>
    </w:p>
    <w:p w:rsidR="00A562D3" w:rsidRPr="00731F76" w:rsidRDefault="00A562D3" w:rsidP="00A562D3">
      <w:pPr>
        <w:ind w:left="0"/>
        <w:jc w:val="both"/>
        <w:rPr>
          <w:rFonts w:ascii="Arial" w:hAnsi="Arial" w:cs="Arial"/>
        </w:rPr>
      </w:pPr>
    </w:p>
    <w:p w:rsidR="00A562D3" w:rsidRPr="00731F76" w:rsidRDefault="00A562D3" w:rsidP="00A562D3">
      <w:pPr>
        <w:ind w:left="0"/>
        <w:jc w:val="both"/>
        <w:rPr>
          <w:rFonts w:ascii="Arial" w:eastAsia="Calibri" w:hAnsi="Arial" w:cs="Arial"/>
        </w:rPr>
      </w:pPr>
      <w:r w:rsidRPr="00731F76">
        <w:rPr>
          <w:rFonts w:ascii="Arial" w:eastAsia="Calibri" w:hAnsi="Arial" w:cs="Arial"/>
        </w:rPr>
        <w:t xml:space="preserve">Viši sud u Trebinju osnovan je Odlukom o osnovama organizacije, sjedištu i području redovnih sudova broj 12-141/92 od 1.5.1992. godine i to za područje Srpske autonomne Oblasti Hercegovina. Donošenjem Zakona o redovnim sudovima ( “Službeni glasnik Republike Srpske” broj 22/96 od 9.10.1996. godine ) Viši sud u Trebinju preimenovan je u Okružni sud u Trebinju. </w:t>
      </w:r>
    </w:p>
    <w:p w:rsidR="00A562D3" w:rsidRPr="00E22A5E" w:rsidRDefault="00A562D3" w:rsidP="00A562D3">
      <w:pPr>
        <w:jc w:val="both"/>
        <w:rPr>
          <w:rFonts w:ascii="Arial" w:hAnsi="Arial" w:cs="Arial"/>
        </w:rPr>
      </w:pPr>
    </w:p>
    <w:p w:rsidR="00A562D3" w:rsidRPr="00E26C95" w:rsidRDefault="00A562D3" w:rsidP="00A562D3">
      <w:pPr>
        <w:widowControl w:val="0"/>
        <w:autoSpaceDE w:val="0"/>
        <w:autoSpaceDN w:val="0"/>
        <w:spacing w:before="71"/>
        <w:jc w:val="both"/>
        <w:rPr>
          <w:rFonts w:ascii="Arial" w:eastAsia="Verdana" w:hAnsi="Arial" w:cs="Arial"/>
        </w:rPr>
      </w:pPr>
    </w:p>
    <w:p w:rsidR="00A562D3" w:rsidRDefault="00A562D3" w:rsidP="00A562D3">
      <w:pPr>
        <w:rPr>
          <w:rFonts w:ascii="Arial" w:eastAsia="Calibri" w:hAnsi="Arial" w:cs="Arial"/>
          <w:b/>
          <w:bCs/>
          <w:color w:val="2F5496" w:themeColor="accent1" w:themeShade="BF"/>
          <w:w w:val="95"/>
          <w:sz w:val="28"/>
          <w:szCs w:val="28"/>
          <w:lang w:val="hr-HR"/>
        </w:rPr>
      </w:pPr>
      <w:r>
        <w:rPr>
          <w:rFonts w:eastAsia="Calibri"/>
        </w:rPr>
        <w:br w:type="page"/>
      </w:r>
    </w:p>
    <w:p w:rsidR="00A562D3" w:rsidRDefault="00A562D3" w:rsidP="00A562D3">
      <w:pPr>
        <w:pStyle w:val="Heading1"/>
        <w:rPr>
          <w:rFonts w:eastAsia="Calibri"/>
        </w:rPr>
      </w:pPr>
      <w:bookmarkStart w:id="13" w:name="_Toc91766451"/>
      <w:bookmarkStart w:id="14" w:name="_Toc182901244"/>
      <w:r>
        <w:rPr>
          <w:rFonts w:eastAsia="Calibri"/>
        </w:rPr>
        <w:lastRenderedPageBreak/>
        <w:t>1)</w:t>
      </w:r>
      <w:r>
        <w:rPr>
          <w:rFonts w:eastAsia="Calibri"/>
        </w:rPr>
        <w:tab/>
      </w:r>
      <w:r w:rsidRPr="00A90E77">
        <w:rPr>
          <w:rFonts w:eastAsia="Calibri"/>
        </w:rPr>
        <w:t>Opis</w:t>
      </w:r>
      <w:r w:rsidRPr="009336F9">
        <w:rPr>
          <w:rFonts w:eastAsia="Calibri"/>
        </w:rPr>
        <w:t xml:space="preserve"> nadležnosti suda, s vizijom i izjavom o misiji. Mandat, misija i vizija</w:t>
      </w:r>
      <w:bookmarkEnd w:id="13"/>
      <w:bookmarkEnd w:id="14"/>
    </w:p>
    <w:p w:rsidR="00A562D3" w:rsidRDefault="00A562D3" w:rsidP="00A562D3">
      <w:pPr>
        <w:ind w:left="0"/>
        <w:rPr>
          <w:rFonts w:ascii="Arial" w:hAnsi="Arial" w:cs="Arial"/>
          <w:w w:val="95"/>
          <w:sz w:val="24"/>
          <w:szCs w:val="24"/>
          <w:lang w:val="hr-HR"/>
        </w:rPr>
      </w:pPr>
    </w:p>
    <w:p w:rsidR="00A562D3" w:rsidRDefault="00A562D3" w:rsidP="00A562D3">
      <w:pPr>
        <w:ind w:left="0"/>
        <w:jc w:val="both"/>
        <w:rPr>
          <w:rFonts w:ascii="Arial" w:hAnsi="Arial" w:cs="Arial"/>
          <w:w w:val="95"/>
          <w:lang w:val="hr-HR"/>
        </w:rPr>
      </w:pPr>
    </w:p>
    <w:p w:rsidR="00A562D3" w:rsidRDefault="00A562D3" w:rsidP="00A562D3">
      <w:pPr>
        <w:ind w:left="0"/>
        <w:jc w:val="both"/>
        <w:rPr>
          <w:rFonts w:ascii="Arial" w:eastAsia="Calibri" w:hAnsi="Arial" w:cs="Arial"/>
          <w:b/>
          <w:bCs/>
          <w:u w:val="single"/>
        </w:rPr>
      </w:pPr>
      <w:r w:rsidRPr="009D6567">
        <w:rPr>
          <w:rFonts w:ascii="Arial" w:eastAsia="Calibri" w:hAnsi="Arial" w:cs="Arial"/>
          <w:b/>
          <w:bCs/>
          <w:u w:val="single"/>
        </w:rPr>
        <w:t xml:space="preserve">MANDAT: </w:t>
      </w:r>
    </w:p>
    <w:p w:rsidR="00A562D3" w:rsidRPr="009D6567" w:rsidRDefault="00A562D3" w:rsidP="00A562D3">
      <w:pPr>
        <w:jc w:val="both"/>
        <w:rPr>
          <w:rFonts w:ascii="Arial" w:eastAsia="Calibri" w:hAnsi="Arial" w:cs="Arial"/>
          <w:b/>
          <w:bCs/>
          <w:u w:val="single"/>
        </w:rPr>
      </w:pPr>
    </w:p>
    <w:p w:rsidR="00A562D3" w:rsidRPr="00D6413F" w:rsidRDefault="00A562D3" w:rsidP="00A562D3">
      <w:pPr>
        <w:ind w:left="0"/>
        <w:jc w:val="both"/>
        <w:rPr>
          <w:rFonts w:ascii="Arial" w:eastAsia="Calibri" w:hAnsi="Arial" w:cs="Arial"/>
          <w:w w:val="95"/>
          <w:lang w:val="hr-HR"/>
        </w:rPr>
      </w:pPr>
      <w:r w:rsidRPr="009D6567">
        <w:rPr>
          <w:rFonts w:eastAsia="Calibri"/>
          <w:b/>
          <w:bCs/>
        </w:rPr>
        <w:t xml:space="preserve">   </w:t>
      </w:r>
      <w:r w:rsidRPr="00D6413F">
        <w:rPr>
          <w:rFonts w:ascii="Arial" w:eastAsia="Calibri" w:hAnsi="Arial" w:cs="Arial"/>
          <w:b/>
          <w:bCs/>
        </w:rPr>
        <w:t xml:space="preserve">  </w:t>
      </w:r>
      <w:r w:rsidRPr="00D6413F">
        <w:rPr>
          <w:rFonts w:ascii="Arial" w:hAnsi="Arial" w:cs="Arial"/>
          <w:w w:val="95"/>
          <w:lang w:val="hr-HR"/>
        </w:rPr>
        <w:t>Nadležnost Okružnog suda u Trebinju je uređena Zakonom o sudovima Republike Srpske (''Službeni glasnik Republike Srpske'', broj 37/12, 14/14, 44/14, 39/16 i 100/17). Prema čl. 31. ovog Zakona Okružni sud je stvarno nadležan:</w:t>
      </w:r>
    </w:p>
    <w:p w:rsidR="00A562D3" w:rsidRDefault="00A562D3" w:rsidP="00A562D3">
      <w:pPr>
        <w:jc w:val="both"/>
        <w:rPr>
          <w:rFonts w:ascii="Arial" w:hAnsi="Arial" w:cs="Arial"/>
          <w:w w:val="95"/>
          <w:lang w:val="hr-HR"/>
        </w:rPr>
      </w:pPr>
    </w:p>
    <w:p w:rsidR="00A562D3" w:rsidRPr="007B4448" w:rsidRDefault="00A562D3" w:rsidP="00A562D3">
      <w:pPr>
        <w:ind w:left="0"/>
        <w:jc w:val="both"/>
        <w:rPr>
          <w:rFonts w:ascii="Arial" w:hAnsi="Arial" w:cs="Arial"/>
          <w:w w:val="95"/>
          <w:u w:val="single"/>
          <w:lang w:val="hr-HR"/>
        </w:rPr>
      </w:pPr>
      <w:r w:rsidRPr="007B4448">
        <w:rPr>
          <w:rFonts w:ascii="Arial" w:hAnsi="Arial" w:cs="Arial"/>
          <w:w w:val="95"/>
          <w:u w:val="single"/>
          <w:lang w:val="hr-HR"/>
        </w:rPr>
        <w:t>- Prvostepena nadležnost</w:t>
      </w:r>
    </w:p>
    <w:p w:rsidR="00A562D3" w:rsidRPr="00D6413F" w:rsidRDefault="00A562D3" w:rsidP="00A562D3">
      <w:pPr>
        <w:ind w:hanging="284"/>
        <w:jc w:val="both"/>
        <w:rPr>
          <w:rFonts w:ascii="Arial" w:hAnsi="Arial" w:cs="Arial"/>
          <w:w w:val="95"/>
          <w:lang w:val="hr-HR"/>
        </w:rPr>
      </w:pPr>
      <w:r w:rsidRPr="00D6413F">
        <w:rPr>
          <w:rFonts w:ascii="Arial" w:hAnsi="Arial" w:cs="Arial"/>
          <w:w w:val="95"/>
          <w:lang w:val="hr-HR"/>
        </w:rPr>
        <w:t>a) da sudi za krivična djela za koja je zakonom propisana kazna zatvora 10 godina ili dugotrajni zatvor, ako zakonom nije određena nadležnost drugog suda;</w:t>
      </w:r>
    </w:p>
    <w:p w:rsidR="00A562D3" w:rsidRPr="00D6413F" w:rsidRDefault="00A562D3" w:rsidP="00A562D3">
      <w:pPr>
        <w:ind w:hanging="284"/>
        <w:jc w:val="both"/>
        <w:rPr>
          <w:rFonts w:ascii="Arial" w:hAnsi="Arial" w:cs="Arial"/>
          <w:w w:val="95"/>
          <w:lang w:val="hr-HR"/>
        </w:rPr>
      </w:pPr>
      <w:r w:rsidRPr="00D6413F">
        <w:rPr>
          <w:rFonts w:ascii="Arial" w:hAnsi="Arial" w:cs="Arial"/>
          <w:w w:val="95"/>
          <w:lang w:val="hr-HR"/>
        </w:rPr>
        <w:t>b) da postupa u toku istrage i nakon podizanja optužnice u skladu sa zakonom;</w:t>
      </w:r>
    </w:p>
    <w:p w:rsidR="00A562D3" w:rsidRPr="00D6413F" w:rsidRDefault="00A562D3" w:rsidP="00A562D3">
      <w:pPr>
        <w:ind w:hanging="284"/>
        <w:jc w:val="both"/>
        <w:rPr>
          <w:rFonts w:ascii="Arial" w:hAnsi="Arial" w:cs="Arial"/>
          <w:w w:val="95"/>
          <w:lang w:val="hr-HR"/>
        </w:rPr>
      </w:pPr>
      <w:r w:rsidRPr="00D6413F">
        <w:rPr>
          <w:rFonts w:ascii="Arial" w:hAnsi="Arial" w:cs="Arial"/>
          <w:w w:val="95"/>
          <w:lang w:val="hr-HR"/>
        </w:rPr>
        <w:t>c) da sudi za krivična djela za koja je Sud Bosne i Hercegovine prenio nadležnost na okružne sudove i</w:t>
      </w:r>
    </w:p>
    <w:p w:rsidR="00A562D3" w:rsidRDefault="00A562D3" w:rsidP="00A562D3">
      <w:pPr>
        <w:ind w:hanging="284"/>
        <w:jc w:val="both"/>
        <w:rPr>
          <w:rFonts w:ascii="Arial" w:hAnsi="Arial" w:cs="Arial"/>
          <w:w w:val="95"/>
          <w:lang w:val="hr-HR"/>
        </w:rPr>
      </w:pPr>
      <w:r w:rsidRPr="00D6413F">
        <w:rPr>
          <w:rFonts w:ascii="Arial" w:hAnsi="Arial" w:cs="Arial"/>
          <w:w w:val="95"/>
          <w:lang w:val="hr-HR"/>
        </w:rPr>
        <w:t>d) da odlučuje o svim upravnim sporovima i to prema sjedištu prvostepenog upravnog organa, kao i o zahtjevima za zaštitu sloboda i prava utvrđenim Ustavom, ako su takve slobode i prava povrijeđeni konačnim pojedinačnim aktom ili radnjom službenog lica u organima uprave, odnosno odgovornog lica u preduzeću, ustanovi ili drugom pravnom licu, kada za zaštitu tih prava nije obezbjeđena druga sudska zaštita.</w:t>
      </w:r>
    </w:p>
    <w:p w:rsidR="00A562D3" w:rsidRPr="00D6413F" w:rsidRDefault="00A562D3" w:rsidP="00A562D3">
      <w:pPr>
        <w:ind w:hanging="284"/>
        <w:jc w:val="both"/>
        <w:rPr>
          <w:rFonts w:ascii="Arial" w:hAnsi="Arial" w:cs="Arial"/>
          <w:w w:val="95"/>
          <w:lang w:val="hr-HR"/>
        </w:rPr>
      </w:pPr>
    </w:p>
    <w:p w:rsidR="00A562D3" w:rsidRPr="007B4448" w:rsidRDefault="00A562D3" w:rsidP="00A562D3">
      <w:pPr>
        <w:ind w:left="0"/>
        <w:jc w:val="both"/>
        <w:rPr>
          <w:rFonts w:ascii="Arial" w:hAnsi="Arial" w:cs="Arial"/>
          <w:w w:val="95"/>
          <w:u w:val="single"/>
          <w:lang w:val="hr-HR"/>
        </w:rPr>
      </w:pPr>
      <w:r w:rsidRPr="007B4448">
        <w:rPr>
          <w:rFonts w:ascii="Arial" w:hAnsi="Arial" w:cs="Arial"/>
          <w:w w:val="95"/>
          <w:u w:val="single"/>
          <w:lang w:val="hr-HR"/>
        </w:rPr>
        <w:t>- Drugostepena nadležnost</w:t>
      </w:r>
    </w:p>
    <w:p w:rsidR="00A562D3" w:rsidRPr="00D6413F" w:rsidRDefault="00A562D3" w:rsidP="00A562D3">
      <w:pPr>
        <w:ind w:hanging="284"/>
        <w:jc w:val="both"/>
        <w:rPr>
          <w:rFonts w:ascii="Arial" w:hAnsi="Arial" w:cs="Arial"/>
          <w:w w:val="95"/>
          <w:lang w:val="hr-HR"/>
        </w:rPr>
      </w:pPr>
      <w:r w:rsidRPr="00D6413F">
        <w:rPr>
          <w:rFonts w:ascii="Arial" w:hAnsi="Arial" w:cs="Arial"/>
          <w:w w:val="95"/>
          <w:lang w:val="hr-HR"/>
        </w:rPr>
        <w:t>a) da odlučuje o žalbama protiv odluka osnovnih sudova;</w:t>
      </w:r>
    </w:p>
    <w:p w:rsidR="00A562D3" w:rsidRDefault="00A562D3" w:rsidP="00A562D3">
      <w:pPr>
        <w:ind w:hanging="284"/>
        <w:jc w:val="both"/>
        <w:rPr>
          <w:rFonts w:ascii="Arial" w:hAnsi="Arial" w:cs="Arial"/>
          <w:w w:val="95"/>
          <w:lang w:val="hr-HR"/>
        </w:rPr>
      </w:pPr>
      <w:r w:rsidRPr="00D6413F">
        <w:rPr>
          <w:rFonts w:ascii="Arial" w:hAnsi="Arial" w:cs="Arial"/>
          <w:w w:val="95"/>
          <w:lang w:val="hr-HR"/>
        </w:rPr>
        <w:t>b) da odlučuje o drugim redovnim i vanrednim pravnim lijekovima, ako je to određeno zakonom.</w:t>
      </w:r>
    </w:p>
    <w:p w:rsidR="00A562D3" w:rsidRPr="00D6413F" w:rsidRDefault="00A562D3" w:rsidP="00A562D3">
      <w:pPr>
        <w:ind w:hanging="284"/>
        <w:jc w:val="both"/>
        <w:rPr>
          <w:rFonts w:ascii="Arial" w:hAnsi="Arial" w:cs="Arial"/>
          <w:w w:val="95"/>
          <w:lang w:val="hr-HR"/>
        </w:rPr>
      </w:pPr>
    </w:p>
    <w:p w:rsidR="00A562D3" w:rsidRDefault="00A562D3" w:rsidP="00A562D3">
      <w:pPr>
        <w:ind w:left="0"/>
        <w:jc w:val="both"/>
        <w:rPr>
          <w:rFonts w:ascii="Arial" w:hAnsi="Arial" w:cs="Arial"/>
        </w:rPr>
      </w:pPr>
      <w:r w:rsidRPr="00D6413F">
        <w:rPr>
          <w:rFonts w:ascii="Arial" w:hAnsi="Arial" w:cs="Arial"/>
        </w:rPr>
        <w:t>-</w:t>
      </w:r>
      <w:r w:rsidRPr="007B4448">
        <w:rPr>
          <w:rFonts w:ascii="Arial" w:hAnsi="Arial" w:cs="Arial"/>
          <w:u w:val="single"/>
        </w:rPr>
        <w:t>Ostalo</w:t>
      </w:r>
    </w:p>
    <w:p w:rsidR="00A562D3" w:rsidRPr="00D6413F" w:rsidRDefault="00A562D3" w:rsidP="00A562D3">
      <w:pPr>
        <w:ind w:hanging="284"/>
        <w:jc w:val="both"/>
        <w:rPr>
          <w:rFonts w:ascii="Arial" w:hAnsi="Arial" w:cs="Arial"/>
        </w:rPr>
      </w:pPr>
      <w:r w:rsidRPr="00D6413F">
        <w:rPr>
          <w:rFonts w:ascii="Arial" w:hAnsi="Arial" w:cs="Arial"/>
        </w:rPr>
        <w:t>a) da rješava o sukobu mjesne nadležnosti između osnovnih sudova sa svog područja u skladu sa zakonom;</w:t>
      </w:r>
    </w:p>
    <w:p w:rsidR="00A562D3" w:rsidRPr="00D6413F" w:rsidRDefault="00A562D3" w:rsidP="00A562D3">
      <w:pPr>
        <w:ind w:hanging="284"/>
        <w:jc w:val="both"/>
        <w:rPr>
          <w:rFonts w:ascii="Arial" w:hAnsi="Arial" w:cs="Arial"/>
        </w:rPr>
      </w:pPr>
      <w:r w:rsidRPr="00D6413F">
        <w:rPr>
          <w:rFonts w:ascii="Arial" w:hAnsi="Arial" w:cs="Arial"/>
        </w:rPr>
        <w:t>b) da odlučuje o prenosu mjesne nadležnosti sa jednog osnovnog suda na drugi osnovni sud na svom području;</w:t>
      </w:r>
    </w:p>
    <w:p w:rsidR="00A562D3" w:rsidRPr="00D6413F" w:rsidRDefault="00A562D3" w:rsidP="00A562D3">
      <w:pPr>
        <w:ind w:hanging="284"/>
        <w:jc w:val="both"/>
        <w:rPr>
          <w:rFonts w:ascii="Arial" w:hAnsi="Arial" w:cs="Arial"/>
        </w:rPr>
      </w:pPr>
      <w:r w:rsidRPr="00D6413F">
        <w:rPr>
          <w:rFonts w:ascii="Arial" w:hAnsi="Arial" w:cs="Arial"/>
        </w:rPr>
        <w:t>c.) da odlučuje o brisanju osude i prestanku mjera bezbjednosti i pravnih posljedica osude, na osnovu sudske odluke;</w:t>
      </w:r>
    </w:p>
    <w:p w:rsidR="00A562D3" w:rsidRDefault="00A562D3" w:rsidP="00A562D3">
      <w:pPr>
        <w:ind w:hanging="284"/>
        <w:jc w:val="both"/>
        <w:rPr>
          <w:rFonts w:ascii="Arial" w:hAnsi="Arial" w:cs="Arial"/>
        </w:rPr>
      </w:pPr>
      <w:r w:rsidRPr="00D6413F">
        <w:rPr>
          <w:rFonts w:ascii="Arial" w:hAnsi="Arial" w:cs="Arial"/>
        </w:rPr>
        <w:t>d) da postupa po molbama za pomilovanje u skladu sa zakonom;</w:t>
      </w:r>
    </w:p>
    <w:p w:rsidR="00A562D3" w:rsidRPr="00D6413F" w:rsidRDefault="00A562D3" w:rsidP="00A562D3">
      <w:pPr>
        <w:ind w:hanging="284"/>
        <w:jc w:val="both"/>
        <w:rPr>
          <w:rFonts w:ascii="Arial" w:hAnsi="Arial" w:cs="Arial"/>
        </w:rPr>
      </w:pPr>
      <w:r w:rsidRPr="00D6413F">
        <w:rPr>
          <w:rFonts w:ascii="Arial" w:hAnsi="Arial" w:cs="Arial"/>
        </w:rPr>
        <w:t>e) da rješava o priznanju odluka stranih sudova, stranih trgovačkih sudova i stranih arbitraža;</w:t>
      </w:r>
    </w:p>
    <w:p w:rsidR="00A562D3" w:rsidRPr="00D6413F" w:rsidRDefault="00A562D3" w:rsidP="00A562D3">
      <w:pPr>
        <w:ind w:hanging="284"/>
        <w:jc w:val="both"/>
        <w:rPr>
          <w:rFonts w:ascii="Arial" w:hAnsi="Arial" w:cs="Arial"/>
        </w:rPr>
      </w:pPr>
      <w:r w:rsidRPr="00D6413F">
        <w:rPr>
          <w:rFonts w:ascii="Arial" w:hAnsi="Arial" w:cs="Arial"/>
        </w:rPr>
        <w:t>f) da pruža međunarodnu pravnu pomoć u krivičnim predmetima;</w:t>
      </w:r>
    </w:p>
    <w:p w:rsidR="00A562D3" w:rsidRPr="00D6413F" w:rsidRDefault="00A562D3" w:rsidP="00A562D3">
      <w:pPr>
        <w:ind w:hanging="284"/>
        <w:jc w:val="both"/>
        <w:rPr>
          <w:rFonts w:ascii="Arial" w:hAnsi="Arial" w:cs="Arial"/>
        </w:rPr>
      </w:pPr>
      <w:r w:rsidRPr="00D6413F">
        <w:rPr>
          <w:rFonts w:ascii="Arial" w:hAnsi="Arial" w:cs="Arial"/>
        </w:rPr>
        <w:t>g) odlučuje o pravnim lijekovima protiv odluka svojih vijeća kada je to zakonom određeno;</w:t>
      </w:r>
    </w:p>
    <w:p w:rsidR="00A562D3" w:rsidRPr="00D6413F" w:rsidRDefault="00A562D3" w:rsidP="00A562D3">
      <w:pPr>
        <w:ind w:hanging="284"/>
        <w:jc w:val="both"/>
        <w:rPr>
          <w:rFonts w:ascii="Arial" w:hAnsi="Arial" w:cs="Arial"/>
        </w:rPr>
      </w:pPr>
      <w:r w:rsidRPr="00D6413F">
        <w:rPr>
          <w:rFonts w:ascii="Arial" w:hAnsi="Arial" w:cs="Arial"/>
        </w:rPr>
        <w:t xml:space="preserve">h) vrši druge poslove određene zakonom. </w:t>
      </w:r>
    </w:p>
    <w:p w:rsidR="00A562D3" w:rsidRPr="00D6413F" w:rsidRDefault="00A562D3" w:rsidP="00A562D3">
      <w:pPr>
        <w:ind w:left="0"/>
        <w:jc w:val="both"/>
        <w:rPr>
          <w:rFonts w:ascii="Arial" w:hAnsi="Arial" w:cs="Arial"/>
          <w:b/>
          <w:bCs/>
          <w:color w:val="0070C0"/>
          <w:w w:val="95"/>
          <w:u w:val="single"/>
          <w:lang w:val="hr-HR"/>
        </w:rPr>
      </w:pPr>
    </w:p>
    <w:p w:rsidR="00A562D3" w:rsidRPr="00D6413F" w:rsidRDefault="00A562D3" w:rsidP="00A562D3">
      <w:pPr>
        <w:ind w:left="0"/>
        <w:jc w:val="both"/>
        <w:rPr>
          <w:rFonts w:ascii="Arial" w:eastAsia="Calibri" w:hAnsi="Arial" w:cs="Arial"/>
        </w:rPr>
      </w:pPr>
      <w:r w:rsidRPr="00D6413F">
        <w:rPr>
          <w:rFonts w:ascii="Arial" w:eastAsia="Calibri" w:hAnsi="Arial" w:cs="Arial"/>
          <w:b/>
          <w:bCs/>
          <w:u w:val="single"/>
        </w:rPr>
        <w:t xml:space="preserve">MISIJA: </w:t>
      </w:r>
      <w:r w:rsidRPr="00D6413F">
        <w:rPr>
          <w:rFonts w:ascii="Arial" w:hAnsi="Arial" w:cs="Arial"/>
          <w:bCs/>
          <w:iCs/>
          <w:noProof/>
          <w:lang w:val="sr-Latn-CS"/>
        </w:rPr>
        <w:t xml:space="preserve">Okružnog suda u Trebinju je vršenje sudske vlasti samostalno i nezavisno u okviru djelokruga iz nadležnosti određene zakonom, </w:t>
      </w:r>
      <w:r w:rsidRPr="00D6413F">
        <w:rPr>
          <w:rFonts w:ascii="Arial" w:hAnsi="Arial" w:cs="Arial"/>
          <w:noProof/>
          <w:lang w:val="sr-Latn-CS"/>
        </w:rPr>
        <w:t>usmjerena na daljnji razvoj profesionalnosti, nezavisnosti, nepristrasnosti i efikasnosti pravosuđa, te teži usvajanju najviših evropskih standarda, ali i očuvanju tradicije, te postojećih vrijednosti  našeg pravnog sistema i pružanje pravne sigurnosti svim svojim građanima i društvu u cjelini.</w:t>
      </w:r>
    </w:p>
    <w:p w:rsidR="00A562D3" w:rsidRPr="00D6413F" w:rsidRDefault="00A562D3" w:rsidP="00A562D3">
      <w:pPr>
        <w:ind w:left="0"/>
        <w:jc w:val="both"/>
        <w:rPr>
          <w:rFonts w:ascii="Arial" w:eastAsia="Calibri" w:hAnsi="Arial" w:cs="Arial"/>
          <w:b/>
          <w:bCs/>
          <w:u w:val="single"/>
        </w:rPr>
      </w:pPr>
    </w:p>
    <w:p w:rsidR="00A562D3" w:rsidRPr="00D6413F" w:rsidRDefault="00A562D3" w:rsidP="00A562D3">
      <w:pPr>
        <w:ind w:left="0"/>
        <w:jc w:val="both"/>
        <w:rPr>
          <w:rFonts w:ascii="Arial" w:hAnsi="Arial" w:cs="Arial"/>
          <w:bCs/>
          <w:iCs/>
          <w:noProof/>
          <w:lang w:val="sr-Latn-CS"/>
        </w:rPr>
      </w:pPr>
      <w:r w:rsidRPr="00D6413F">
        <w:rPr>
          <w:rFonts w:ascii="Arial" w:eastAsia="Calibri" w:hAnsi="Arial" w:cs="Arial"/>
          <w:b/>
          <w:bCs/>
          <w:u w:val="single"/>
        </w:rPr>
        <w:t xml:space="preserve">VIZIJA: </w:t>
      </w:r>
      <w:r w:rsidRPr="00D6413F">
        <w:rPr>
          <w:rFonts w:ascii="Arial" w:hAnsi="Arial" w:cs="Arial"/>
          <w:bCs/>
          <w:iCs/>
          <w:noProof/>
          <w:lang w:val="sr-Latn-CS"/>
        </w:rPr>
        <w:t>Okružni sud u Trebinju će usmjeriti sve svoje resurse u cilju uspostave vladavine prava, uz punu primjenu načela pravde i pravičnosti, uvažavajući najviše standarde primjene i zaštite ljudskih prava i osnovnih sloboda i koja će steći potpuno povjerenje javnosti.</w:t>
      </w:r>
    </w:p>
    <w:p w:rsidR="00A562D3" w:rsidRPr="00731F76" w:rsidRDefault="00A562D3" w:rsidP="00A562D3">
      <w:pPr>
        <w:ind w:left="0"/>
        <w:jc w:val="both"/>
        <w:rPr>
          <w:rFonts w:ascii="Arial" w:eastAsia="Calibri" w:hAnsi="Arial" w:cs="Arial"/>
        </w:rPr>
      </w:pPr>
      <w:r w:rsidRPr="00D6413F">
        <w:rPr>
          <w:rFonts w:ascii="Arial" w:eastAsia="Calibri" w:hAnsi="Arial" w:cs="Arial"/>
        </w:rPr>
        <w:br w:type="page"/>
      </w:r>
    </w:p>
    <w:p w:rsidR="00A562D3" w:rsidRPr="00F17AF0" w:rsidRDefault="00A562D3" w:rsidP="00A562D3">
      <w:pPr>
        <w:pStyle w:val="Heading1"/>
        <w:rPr>
          <w:rFonts w:eastAsia="Calibri"/>
        </w:rPr>
      </w:pPr>
      <w:bookmarkStart w:id="15" w:name="_Toc91766452"/>
      <w:bookmarkStart w:id="16" w:name="_Toc182901245"/>
      <w:r w:rsidRPr="00F17AF0">
        <w:lastRenderedPageBreak/>
        <w:t>2)</w:t>
      </w:r>
      <w:r w:rsidRPr="00F17AF0">
        <w:tab/>
      </w:r>
      <w:r w:rsidRPr="00F17AF0">
        <w:rPr>
          <w:rFonts w:eastAsia="Calibri"/>
        </w:rPr>
        <w:t>Sažetak analize strateškog okvira</w:t>
      </w:r>
      <w:bookmarkEnd w:id="15"/>
      <w:bookmarkEnd w:id="16"/>
    </w:p>
    <w:p w:rsidR="00A562D3" w:rsidRPr="000512AF" w:rsidRDefault="00A562D3" w:rsidP="00A562D3">
      <w:pPr>
        <w:ind w:left="0"/>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(Analiza strateškog okvira u oblasti pravosuđa podrazumijeva pregled ključnih strateških dokumenata u Bosni i Hercegovini, međunarodnih ugovora, zakonskih propisa i drugih analiza strateškog okvira u oblasti pravosuđa, te ne bi trebala biti duža od dvije stranice.)</w:t>
      </w: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Strateško planiranje je kontinuirani proces utvrđivanja ciljeva i instrumenata za njihovo provođenje, pri čemu se jasno definišu prioriteti i pravci razvoja. Prilikom utvrđivanja strateških ciljeva Okružni sud u Trebinju je prilikom pripreme ovog Programa rada uzeo u obzir sve obaveze koje proizilaze iz  zakona i strateških dokumenata relevantnih za sektor pravde i to:</w:t>
      </w: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Ustav Bosne i Hercegovine, Ustav Republike Srpske</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Zakon o sudovima Republike Srpske</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Zakon o zaštiti prava na suđenje u razumnom roku</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Zakon o VSTV</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Zakon o slobodi pristupa informacijama</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Zakon o zaštiti ličnih podataka</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Izvještaj Evropske komisije za 2020.godinu</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Državna strategija za rad na predmetima ratnih zločina</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Pravilnik o vremenskim okvirima za postupanje po predmetima u Bosni i Hercegovini</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Strategija za borbu protiv korupcije</w:t>
      </w:r>
      <w:r>
        <w:rPr>
          <w:rFonts w:ascii="Arial" w:hAnsi="Arial" w:cs="Arial"/>
          <w:w w:val="95"/>
          <w:lang w:val="hr-HR"/>
        </w:rPr>
        <w:t>.</w:t>
      </w: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b/>
          <w:w w:val="95"/>
          <w:lang w:val="hr-HR"/>
        </w:rPr>
        <w:t>Ustav Bosne i Hercegovine</w:t>
      </w:r>
      <w:r w:rsidRPr="00D067E9">
        <w:rPr>
          <w:rFonts w:ascii="Arial" w:hAnsi="Arial" w:cs="Arial"/>
          <w:w w:val="95"/>
          <w:lang w:val="hr-HR"/>
        </w:rPr>
        <w:t xml:space="preserve"> sadrži katalog ljudskih prava  i temeljnih sloboda koje uživaju sva lica na teritoriji BiH. Ljudsko dostojanstvo, sloboda, jednakost i poštivanje ljudskih prava su osnovne vrijednosti na kojima se temelji EU. </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w w:val="95"/>
          <w:lang w:val="hr-HR"/>
        </w:rPr>
        <w:t xml:space="preserve">Prema </w:t>
      </w:r>
      <w:r w:rsidRPr="00D067E9">
        <w:rPr>
          <w:rFonts w:ascii="Arial" w:hAnsi="Arial" w:cs="Arial"/>
          <w:b/>
          <w:w w:val="95"/>
          <w:lang w:val="hr-HR"/>
        </w:rPr>
        <w:t>Zakonu o sudovima Republilke Srpsk</w:t>
      </w:r>
      <w:r w:rsidRPr="00D067E9">
        <w:rPr>
          <w:rFonts w:ascii="Arial" w:hAnsi="Arial" w:cs="Arial"/>
          <w:w w:val="95"/>
          <w:lang w:val="hr-HR"/>
        </w:rPr>
        <w:t xml:space="preserve">e, sudovi su  samostalni i nezavisni od zakonodavne i izvršne vlasti i zabranjen je svaki oblik uticaja na donošenje sudskih odluka. Sudovi u svom radu postupaju nepristrasno i odluke donose u razumnom roku. Niko ne smije uticati na nezavisnost i nepristrasnost sudije pri odlučivanju u predmetima koji su mu dodijeljeni. </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b/>
          <w:w w:val="95"/>
          <w:lang w:val="hr-HR"/>
        </w:rPr>
        <w:t>Zakon o zaštiti prava na suđenje u razumnom roku</w:t>
      </w:r>
      <w:r w:rsidRPr="00D067E9">
        <w:rPr>
          <w:rFonts w:ascii="Arial" w:hAnsi="Arial" w:cs="Arial"/>
          <w:w w:val="95"/>
          <w:lang w:val="hr-HR"/>
        </w:rPr>
        <w:t xml:space="preserve"> (‘’Službeni glasnik Republike Srpske’’, broj 99/20) uređuje zaštitu prava na suđenje u razumnom roku, kao i pravo na pravično zadovoljenje zbog povrede prava na suđenje u razumnom roku, koje se ostvaruje u sudskom postupku na način i pod uslovima propisanim tim Zakonom. </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b/>
          <w:w w:val="95"/>
          <w:lang w:val="hr-HR"/>
        </w:rPr>
        <w:t>Zakon o  VSTS</w:t>
      </w:r>
      <w:r w:rsidRPr="00D067E9">
        <w:rPr>
          <w:rFonts w:ascii="Arial" w:hAnsi="Arial" w:cs="Arial"/>
          <w:w w:val="95"/>
          <w:lang w:val="hr-HR"/>
        </w:rPr>
        <w:t xml:space="preserve"> kojim zakonom je VSTS obavezan da kao nezavisni samostalni organ ima zadatak da osigura nezavisno, nepristrasno i profesionalno pravosuđe.Na osnovu čl. 17. tačka 28. Zakona o visokom sudskom i tužilačkom vijeću Bosne i Hercegovine (''Službeni glasnik Bosne i Hercegovine'', broj 25/04, 93/05, 48/07 i 15/08) Visoko sudsko i tužilačko vijeće Bosne i Hercegovine je donijelo Uputstvo za strateško planiranje i izvještavanje u sudovima u Bosni i Hercegovini.</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rPr>
      </w:pPr>
      <w:r w:rsidRPr="00D067E9">
        <w:rPr>
          <w:rFonts w:ascii="Arial" w:hAnsi="Arial" w:cs="Arial"/>
          <w:b/>
        </w:rPr>
        <w:t xml:space="preserve">Zakon o slobodi pristupa informacijama </w:t>
      </w:r>
      <w:r w:rsidRPr="00D067E9">
        <w:rPr>
          <w:rFonts w:ascii="Arial" w:hAnsi="Arial" w:cs="Arial"/>
        </w:rPr>
        <w:t>(„Službeni glasnik Republike Srpske“, broj 20/01), kojim se utvrđuje obaveza objavljivanja informacija koje su pod kontrolom suda, a pod uslovima propisanim zakonom, radi promovisanja veće transparentnosti i odgovornosti suda, s obzirom da je dostupnost informacija neophodna za demokratski proces.</w:t>
      </w:r>
    </w:p>
    <w:p w:rsidR="00A562D3" w:rsidRPr="00D067E9" w:rsidRDefault="00A562D3" w:rsidP="00A562D3">
      <w:pPr>
        <w:ind w:left="0"/>
        <w:jc w:val="both"/>
        <w:rPr>
          <w:rFonts w:ascii="Arial" w:hAnsi="Arial" w:cs="Arial"/>
          <w:w w:val="95"/>
          <w:sz w:val="24"/>
          <w:szCs w:val="24"/>
          <w:lang w:val="hr-HR"/>
        </w:rPr>
      </w:pPr>
    </w:p>
    <w:p w:rsidR="00A562D3" w:rsidRDefault="00A562D3" w:rsidP="00A562D3">
      <w:pPr>
        <w:ind w:left="0"/>
        <w:jc w:val="both"/>
        <w:rPr>
          <w:rFonts w:ascii="Arial" w:hAnsi="Arial" w:cs="Arial"/>
        </w:rPr>
      </w:pPr>
      <w:r w:rsidRPr="00D067E9">
        <w:rPr>
          <w:rFonts w:ascii="Arial" w:hAnsi="Arial" w:cs="Arial"/>
          <w:b/>
        </w:rPr>
        <w:lastRenderedPageBreak/>
        <w:t xml:space="preserve">Zakon o zaštiti ličnih podataka </w:t>
      </w:r>
      <w:r w:rsidRPr="00D067E9">
        <w:rPr>
          <w:rFonts w:ascii="Arial" w:hAnsi="Arial" w:cs="Arial"/>
        </w:rPr>
        <w:t>(„Službeni glasnik Bosne i Hercegovine“, broj 49/06, 76/11, 93/11), kojem je, između ostalog, cilj da svim licima, bez obzira na državljanstvo ili prebivalište, osigura zaštitu ljudskih prava i osnovnih sloboda, a naročito pravo na tajnost u pogledu obrade ličnih podataka, koji se na njih odnose, a primjenjuje se na lične podatke koje obrađuju svi javni organi.</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b/>
          <w:w w:val="95"/>
          <w:lang w:val="hr-HR"/>
        </w:rPr>
        <w:t xml:space="preserve">Iz Izvještaja Evropske komisije </w:t>
      </w:r>
      <w:r w:rsidRPr="00D067E9">
        <w:rPr>
          <w:rFonts w:ascii="Arial" w:hAnsi="Arial" w:cs="Arial"/>
          <w:w w:val="95"/>
          <w:lang w:val="hr-HR"/>
        </w:rPr>
        <w:t xml:space="preserve">za 2020.godinu proizilazi, da kao ključni prioritet, država treba da usvoji novi Zakon o VSTS i novi Zakon o sudovima Bosne i Hercegovine u skladu sa evropskim standardima, kako bi se postigla veća pravna sigurnost i poboljšalo funkcionisanje pravosuđa, posebno u borbi protiv teškog kriminala. Zakonom treba razjasniti stvarnu nadležnost sudova za posebno teška krivična djela, u skladu sa standardima utvrđenim Ugovorom o funkcionisanju Evropske unije. Ovim zakonom treba predvidjeti i poseban drugostepeni apelacioni sud kako bi se ojačala nezavisnost kod sudskog preispitivanja odluka Suda Bosne i Hercegovine. Edukacija za sudije i tužioce ima nedostataka. Hitno su potrebna značajna poboljšanja u pogledu trajanja i kvaliteta obavezne edukacije. Njen sadržaj ne treba da bude ograničen samo na pravna pitanja, već i na vrijednosti i profesionalne vještine. Predsjednici sudova i glavni tužioci se trebaju više uključivati u identifikaciju potreba za edukacijom svojih zaposlenih. Broj predmeta ratnih zločina postepeno se smanjuje, međutim procesuiranje ovih predmeta, posebno onih najsloženijih, i dalje je u ozbiljnom zaostatku. </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b/>
          <w:w w:val="95"/>
          <w:lang w:val="hr-HR"/>
        </w:rPr>
        <w:t xml:space="preserve">Državna strategija za rad na predmetima ratnih zločina </w:t>
      </w:r>
      <w:r w:rsidRPr="00D067E9">
        <w:rPr>
          <w:rFonts w:ascii="Arial" w:hAnsi="Arial" w:cs="Arial"/>
          <w:w w:val="95"/>
          <w:lang w:val="hr-HR"/>
        </w:rPr>
        <w:t>je akt u čijem su fokusu, kako proizilazi iz njegovog uvodnog dijela, pravosudni aspekti problematike rješavanja predmeta ratnih zločina. Kao razlozi za donošenje ovog akta navedeni su, među ostalim, postojanje velikog broja neriješenih predmeta, neujednačenost sudske prakse, nedostaci u upravljanju postupkom i tako dalje. S obzirom na određen broj predmeta ratnih zločina u ovom sudu, u kojim postupcima postoje mogućnosti poboljšanja, ovaj sud je uvrstio ovaj dokument u strateški okvir, koristeći ideje iz ovog dokumenta, kao vodilje za izradu dijela ovog plana koji se odnosi na poboljšanja u radu na predmetima ratnih zločina.</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r w:rsidRPr="00D067E9">
        <w:rPr>
          <w:rFonts w:ascii="Arial" w:hAnsi="Arial" w:cs="Arial"/>
          <w:b/>
          <w:w w:val="95"/>
          <w:lang w:val="hr-HR"/>
        </w:rPr>
        <w:t>Pravilnikom o vremenskim okvirima za postupanje po predmetima</w:t>
      </w:r>
      <w:r w:rsidRPr="00D067E9">
        <w:rPr>
          <w:rFonts w:ascii="Arial" w:hAnsi="Arial" w:cs="Arial"/>
          <w:w w:val="95"/>
          <w:lang w:val="hr-HR"/>
        </w:rPr>
        <w:t xml:space="preserve"> u Bosni i Hercegovini utvrđeni su kriteriji i metodologija za određivanje i praćenje poštivanja optimalnih i predvidivih rokova za rješavanje predmeta u skladu sa Smjernicama Evropske komisije za efikasnost pravosuđa.</w:t>
      </w:r>
    </w:p>
    <w:p w:rsidR="00A562D3"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w w:val="95"/>
          <w:lang w:val="hr-HR"/>
        </w:rPr>
      </w:pPr>
    </w:p>
    <w:p w:rsidR="00A562D3" w:rsidRPr="00D067E9" w:rsidRDefault="00A562D3" w:rsidP="00A562D3">
      <w:pPr>
        <w:ind w:left="0"/>
        <w:jc w:val="both"/>
        <w:rPr>
          <w:rFonts w:ascii="Arial" w:hAnsi="Arial" w:cs="Arial"/>
          <w:lang w:val="bs-Latn-BA"/>
        </w:rPr>
      </w:pPr>
      <w:r w:rsidRPr="00D067E9">
        <w:rPr>
          <w:rFonts w:ascii="Arial" w:hAnsi="Arial" w:cs="Arial"/>
          <w:b/>
          <w:w w:val="95"/>
          <w:lang w:val="hr-HR"/>
        </w:rPr>
        <w:t xml:space="preserve">Strategija za borbu protiv korupcije </w:t>
      </w:r>
      <w:r w:rsidRPr="00D067E9">
        <w:rPr>
          <w:rFonts w:ascii="Arial" w:hAnsi="Arial" w:cs="Arial"/>
          <w:w w:val="95"/>
          <w:lang w:val="hr-HR"/>
        </w:rPr>
        <w:t xml:space="preserve">u Bosni i Hercegovini, ima za cilj da </w:t>
      </w:r>
      <w:r w:rsidRPr="00D067E9">
        <w:rPr>
          <w:rFonts w:ascii="Arial" w:hAnsi="Arial" w:cs="Arial"/>
        </w:rPr>
        <w:t xml:space="preserve">unaprijedi institucionalni i normativni okvir za odlučnu i sveobuhvatnu borbu protiv korupcije, što podrazumijeva utvrđivanje prioritetnih načina zajedničkog djelovanja svih nivoa vlasti u BiH. Jedan od glavnih ciljeva strategije jeste jačanje mehanizama otkrivanja i dokazivanja koruptivnih djela i procesuiranja počinilaca. </w:t>
      </w:r>
    </w:p>
    <w:p w:rsidR="00A562D3" w:rsidRDefault="00A562D3" w:rsidP="00A562D3">
      <w:pPr>
        <w:shd w:val="clear" w:color="auto" w:fill="FFFFFF"/>
        <w:ind w:left="0" w:right="146"/>
        <w:jc w:val="both"/>
        <w:rPr>
          <w:rFonts w:ascii="Arial" w:eastAsia="Calibri" w:hAnsi="Arial" w:cs="Arial"/>
          <w:b/>
          <w:bCs/>
          <w:u w:val="single"/>
        </w:rPr>
      </w:pPr>
    </w:p>
    <w:p w:rsidR="00A562D3" w:rsidRDefault="00A562D3" w:rsidP="00A562D3">
      <w:pPr>
        <w:shd w:val="clear" w:color="auto" w:fill="FFFFFF"/>
        <w:ind w:left="0" w:right="146"/>
        <w:jc w:val="both"/>
        <w:rPr>
          <w:rFonts w:ascii="Arial" w:eastAsia="Calibri" w:hAnsi="Arial" w:cs="Arial"/>
          <w:b/>
          <w:bCs/>
          <w:u w:val="single"/>
        </w:rPr>
      </w:pPr>
    </w:p>
    <w:p w:rsidR="00A562D3" w:rsidRDefault="00A562D3" w:rsidP="00A562D3">
      <w:pPr>
        <w:shd w:val="clear" w:color="auto" w:fill="FFFFFF"/>
        <w:ind w:left="0" w:right="146"/>
        <w:jc w:val="both"/>
        <w:rPr>
          <w:rFonts w:ascii="Arial" w:eastAsia="Calibri" w:hAnsi="Arial" w:cs="Arial"/>
          <w:b/>
          <w:bCs/>
          <w:u w:val="single"/>
        </w:rPr>
      </w:pPr>
    </w:p>
    <w:p w:rsidR="00A562D3" w:rsidRDefault="00A562D3" w:rsidP="00A562D3">
      <w:pPr>
        <w:shd w:val="clear" w:color="auto" w:fill="FFFFFF"/>
        <w:ind w:left="0" w:right="146"/>
        <w:jc w:val="both"/>
        <w:rPr>
          <w:rFonts w:ascii="Arial" w:eastAsia="Calibri" w:hAnsi="Arial" w:cs="Arial"/>
          <w:b/>
          <w:bCs/>
          <w:u w:val="single"/>
        </w:rPr>
      </w:pPr>
    </w:p>
    <w:p w:rsidR="00A562D3" w:rsidRDefault="00A562D3" w:rsidP="00A562D3">
      <w:pPr>
        <w:shd w:val="clear" w:color="auto" w:fill="FFFFFF"/>
        <w:ind w:left="0" w:right="146"/>
        <w:jc w:val="both"/>
        <w:rPr>
          <w:rFonts w:ascii="Arial" w:eastAsia="Calibri" w:hAnsi="Arial" w:cs="Arial"/>
          <w:b/>
          <w:bCs/>
          <w:u w:val="single"/>
        </w:rPr>
      </w:pPr>
    </w:p>
    <w:p w:rsidR="00A562D3" w:rsidRDefault="00A562D3" w:rsidP="00A562D3">
      <w:pPr>
        <w:shd w:val="clear" w:color="auto" w:fill="FFFFFF"/>
        <w:ind w:left="0" w:right="146"/>
        <w:jc w:val="both"/>
        <w:rPr>
          <w:rFonts w:ascii="Arial" w:eastAsia="Calibri" w:hAnsi="Arial" w:cs="Arial"/>
          <w:b/>
          <w:bCs/>
          <w:u w:val="single"/>
        </w:rPr>
      </w:pPr>
    </w:p>
    <w:p w:rsidR="00A562D3" w:rsidRDefault="00A562D3" w:rsidP="00A562D3">
      <w:pPr>
        <w:shd w:val="clear" w:color="auto" w:fill="FFFFFF"/>
        <w:ind w:left="0" w:right="146"/>
        <w:jc w:val="both"/>
        <w:rPr>
          <w:rFonts w:ascii="Arial" w:eastAsia="Calibri" w:hAnsi="Arial" w:cs="Arial"/>
          <w:b/>
          <w:bCs/>
          <w:u w:val="single"/>
        </w:rPr>
      </w:pPr>
    </w:p>
    <w:p w:rsidR="00A562D3" w:rsidRPr="0067505E" w:rsidRDefault="00A562D3" w:rsidP="00A562D3">
      <w:pPr>
        <w:shd w:val="clear" w:color="auto" w:fill="FFFFFF"/>
        <w:ind w:left="0" w:right="146"/>
        <w:jc w:val="both"/>
        <w:rPr>
          <w:rFonts w:ascii="Arial" w:eastAsia="Calibri" w:hAnsi="Arial" w:cs="Arial"/>
          <w:b/>
          <w:bCs/>
          <w:u w:val="single"/>
        </w:rPr>
      </w:pPr>
    </w:p>
    <w:p w:rsidR="00A562D3" w:rsidRDefault="00A562D3" w:rsidP="00A562D3">
      <w:pPr>
        <w:pStyle w:val="Heading1"/>
        <w:ind w:left="420" w:hanging="420"/>
        <w:jc w:val="both"/>
        <w:rPr>
          <w:rFonts w:eastAsia="Calibri"/>
        </w:rPr>
      </w:pPr>
      <w:bookmarkStart w:id="17" w:name="_Toc91766453"/>
      <w:bookmarkStart w:id="18" w:name="_Toc182901246"/>
      <w:r>
        <w:lastRenderedPageBreak/>
        <w:t>3)</w:t>
      </w:r>
      <w:r>
        <w:tab/>
        <w:t xml:space="preserve">Pregled strateških i trogodišnjih </w:t>
      </w:r>
      <w:r>
        <w:rPr>
          <w:rFonts w:eastAsia="Calibri"/>
        </w:rPr>
        <w:t>ciljeva za period strateškog planiranja</w:t>
      </w:r>
      <w:bookmarkEnd w:id="17"/>
      <w:bookmarkEnd w:id="18"/>
      <w:r w:rsidRPr="0031411E">
        <w:rPr>
          <w:rFonts w:eastAsia="Calibri"/>
        </w:rPr>
        <w:t xml:space="preserve"> </w:t>
      </w:r>
    </w:p>
    <w:p w:rsidR="00A562D3" w:rsidRDefault="00A562D3" w:rsidP="00A562D3">
      <w:pPr>
        <w:rPr>
          <w:lang w:val="hr-HR"/>
        </w:rPr>
      </w:pPr>
    </w:p>
    <w:p w:rsidR="00A562D3" w:rsidRDefault="00A562D3" w:rsidP="00A562D3">
      <w:pPr>
        <w:rPr>
          <w:lang w:val="hr-HR"/>
        </w:rPr>
      </w:pPr>
    </w:p>
    <w:p w:rsidR="00A562D3" w:rsidRPr="00D6413F" w:rsidRDefault="00A562D3" w:rsidP="00A562D3">
      <w:pPr>
        <w:jc w:val="both"/>
        <w:rPr>
          <w:rFonts w:ascii="Arial" w:hAnsi="Arial" w:cs="Arial"/>
        </w:rPr>
      </w:pPr>
      <w:r w:rsidRPr="00D6413F">
        <w:rPr>
          <w:rFonts w:ascii="Arial" w:hAnsi="Arial" w:cs="Arial"/>
        </w:rPr>
        <w:t>(Ukratko navesti strateške i trogodišnje ciljeve sa kratkim opisom za period strateškog planiranja od tri godine)</w:t>
      </w:r>
    </w:p>
    <w:p w:rsidR="00A562D3" w:rsidRDefault="00A562D3" w:rsidP="00A562D3">
      <w:pPr>
        <w:ind w:left="0"/>
        <w:jc w:val="both"/>
        <w:rPr>
          <w:rFonts w:ascii="Arial" w:hAnsi="Arial" w:cs="Arial"/>
        </w:rPr>
      </w:pPr>
    </w:p>
    <w:p w:rsidR="00A562D3" w:rsidRPr="00910FA0" w:rsidRDefault="00A562D3" w:rsidP="00A562D3">
      <w:pPr>
        <w:jc w:val="both"/>
        <w:rPr>
          <w:rFonts w:ascii="Arial" w:hAnsi="Arial" w:cs="Arial"/>
        </w:rPr>
      </w:pPr>
    </w:p>
    <w:p w:rsidR="00A562D3" w:rsidRPr="00D6413F" w:rsidRDefault="00A562D3" w:rsidP="00A562D3">
      <w:pPr>
        <w:ind w:left="0"/>
        <w:jc w:val="both"/>
        <w:rPr>
          <w:rFonts w:ascii="Arial" w:hAnsi="Arial" w:cs="Arial"/>
        </w:rPr>
      </w:pPr>
      <w:r w:rsidRPr="00D6413F">
        <w:rPr>
          <w:rFonts w:ascii="Arial" w:hAnsi="Arial" w:cs="Arial"/>
        </w:rPr>
        <w:t xml:space="preserve">Okružni sud u Trebinju za period od 2025. godine do 2027. </w:t>
      </w:r>
      <w:r>
        <w:rPr>
          <w:rFonts w:ascii="Arial" w:hAnsi="Arial" w:cs="Arial"/>
        </w:rPr>
        <w:t>g</w:t>
      </w:r>
      <w:r w:rsidRPr="00D6413F">
        <w:rPr>
          <w:rFonts w:ascii="Arial" w:hAnsi="Arial" w:cs="Arial"/>
        </w:rPr>
        <w:t>odine</w:t>
      </w:r>
      <w:r>
        <w:rPr>
          <w:rFonts w:ascii="Arial" w:hAnsi="Arial" w:cs="Arial"/>
        </w:rPr>
        <w:t xml:space="preserve"> je</w:t>
      </w:r>
      <w:r w:rsidRPr="00D6413F">
        <w:rPr>
          <w:rFonts w:ascii="Arial" w:hAnsi="Arial" w:cs="Arial"/>
        </w:rPr>
        <w:t xml:space="preserve"> postavio kao zadatak dva strateška cilja kojima je obuhvatio trogodišnje ciljeve i to: </w:t>
      </w:r>
    </w:p>
    <w:p w:rsidR="00A562D3" w:rsidRPr="00D6413F" w:rsidRDefault="00A562D3" w:rsidP="00A562D3">
      <w:pPr>
        <w:ind w:left="0"/>
        <w:jc w:val="both"/>
        <w:rPr>
          <w:rFonts w:ascii="Arial" w:hAnsi="Arial" w:cs="Arial"/>
          <w:b/>
          <w:i/>
          <w:lang w:val="hr-HR"/>
        </w:rPr>
      </w:pPr>
    </w:p>
    <w:p w:rsidR="00A562D3" w:rsidRPr="00D6413F" w:rsidRDefault="00A562D3" w:rsidP="00A562D3">
      <w:pPr>
        <w:ind w:left="0"/>
        <w:jc w:val="both"/>
        <w:rPr>
          <w:rFonts w:ascii="Arial" w:hAnsi="Arial" w:cs="Arial"/>
          <w:b/>
          <w:lang w:val="hr-BA"/>
        </w:rPr>
      </w:pPr>
      <w:r w:rsidRPr="00D6413F">
        <w:rPr>
          <w:rFonts w:ascii="Arial" w:hAnsi="Arial" w:cs="Arial"/>
          <w:b/>
          <w:lang w:val="hr-BA"/>
        </w:rPr>
        <w:t>1. ''Unaprijediti efikasnost suda''</w:t>
      </w:r>
    </w:p>
    <w:p w:rsidR="00A562D3" w:rsidRPr="00D6413F" w:rsidRDefault="00A562D3" w:rsidP="00A562D3">
      <w:pPr>
        <w:ind w:left="0"/>
        <w:jc w:val="both"/>
        <w:rPr>
          <w:rFonts w:ascii="Arial" w:hAnsi="Arial" w:cs="Arial"/>
          <w:b/>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Sud će kroz svoje aktivnosti nastojati doprinijeti realizaciji postavljenog strateškog cilja, a time i jačanju pravosudnog sektora u cjelini.</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Ostvarenjem navedenog strateškog cilja Okružni sud u Trebinju će nastojati realizovati sljedeće trogodišnje ciljeve:</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b/>
          <w:lang w:val="hr-BA"/>
        </w:rPr>
      </w:pPr>
      <w:r w:rsidRPr="00D6413F">
        <w:rPr>
          <w:rFonts w:ascii="Arial" w:hAnsi="Arial" w:cs="Arial"/>
          <w:lang w:val="hr-BA"/>
        </w:rPr>
        <w:t xml:space="preserve">- Trogodišnji </w:t>
      </w:r>
      <w:r w:rsidRPr="00D6413F">
        <w:rPr>
          <w:rFonts w:ascii="Arial" w:hAnsi="Arial" w:cs="Arial"/>
          <w:b/>
          <w:lang w:val="hr-BA"/>
        </w:rPr>
        <w:t>CILJ 1: Skraćivanje dužine trajanja postupka u drugostepenim referatima</w:t>
      </w:r>
    </w:p>
    <w:p w:rsidR="00A562D3" w:rsidRPr="00D6413F" w:rsidRDefault="00A562D3" w:rsidP="00A562D3">
      <w:pPr>
        <w:ind w:left="0"/>
        <w:jc w:val="both"/>
        <w:rPr>
          <w:rFonts w:ascii="Arial" w:hAnsi="Arial" w:cs="Arial"/>
          <w:b/>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Cilj je postići da dužina trajanja svih drugostepenih predmeta u građanskom referatu traje najviše 75 dana, kako je i propisano odredbama Zakona o parničnom postupku.</w:t>
      </w:r>
    </w:p>
    <w:p w:rsidR="00A562D3" w:rsidRPr="00D6413F" w:rsidRDefault="00A562D3" w:rsidP="00A562D3">
      <w:pPr>
        <w:ind w:left="0"/>
        <w:jc w:val="both"/>
        <w:rPr>
          <w:rFonts w:ascii="Arial" w:hAnsi="Arial" w:cs="Arial"/>
          <w:b/>
          <w:lang w:val="hr-BA"/>
        </w:rPr>
      </w:pPr>
    </w:p>
    <w:p w:rsidR="00A562D3" w:rsidRPr="00D6413F" w:rsidRDefault="00A562D3" w:rsidP="00A562D3">
      <w:pPr>
        <w:ind w:left="0"/>
        <w:jc w:val="both"/>
        <w:rPr>
          <w:rFonts w:ascii="Arial" w:hAnsi="Arial" w:cs="Arial"/>
          <w:b/>
          <w:lang w:val="hr-BA"/>
        </w:rPr>
      </w:pPr>
    </w:p>
    <w:p w:rsidR="00A562D3" w:rsidRPr="00D6413F" w:rsidRDefault="00A562D3" w:rsidP="00A562D3">
      <w:pPr>
        <w:ind w:left="0"/>
        <w:jc w:val="both"/>
        <w:rPr>
          <w:rFonts w:ascii="Arial" w:hAnsi="Arial" w:cs="Arial"/>
          <w:b/>
          <w:lang w:val="hr-BA"/>
        </w:rPr>
      </w:pPr>
      <w:r w:rsidRPr="00D6413F">
        <w:rPr>
          <w:rFonts w:ascii="Arial" w:hAnsi="Arial" w:cs="Arial"/>
          <w:lang w:val="hr-BA"/>
        </w:rPr>
        <w:t xml:space="preserve">-Trogodišnji </w:t>
      </w:r>
      <w:r w:rsidRPr="00D6413F">
        <w:rPr>
          <w:rFonts w:ascii="Arial" w:hAnsi="Arial" w:cs="Arial"/>
          <w:b/>
          <w:lang w:val="hr-BA"/>
        </w:rPr>
        <w:t>CILJ 2: Smanjiti broj neriješenih predmeta na upravnom referatu.</w:t>
      </w:r>
    </w:p>
    <w:p w:rsidR="00A562D3" w:rsidRPr="00D6413F" w:rsidRDefault="00A562D3" w:rsidP="00A562D3">
      <w:pPr>
        <w:ind w:left="0"/>
        <w:jc w:val="both"/>
        <w:rPr>
          <w:rFonts w:ascii="Arial" w:hAnsi="Arial" w:cs="Arial"/>
          <w:lang w:val="hr-HR"/>
        </w:rPr>
      </w:pPr>
    </w:p>
    <w:p w:rsidR="00A562D3" w:rsidRPr="00D6413F" w:rsidRDefault="00A562D3" w:rsidP="00A562D3">
      <w:pPr>
        <w:ind w:left="0"/>
        <w:jc w:val="both"/>
        <w:rPr>
          <w:rFonts w:ascii="Arial" w:hAnsi="Arial" w:cs="Arial"/>
          <w:lang w:val="hr-HR"/>
        </w:rPr>
      </w:pPr>
      <w:r w:rsidRPr="00D6413F">
        <w:rPr>
          <w:rFonts w:ascii="Arial" w:hAnsi="Arial" w:cs="Arial"/>
          <w:lang w:val="hr-HR"/>
        </w:rPr>
        <w:t xml:space="preserve">Cilj je smanjiti broj nezavršenih predmeta na upravnom referatu, kojih trenutno sa danom 18.11.2024.g. ima 62 nezavršena predmeta. Trogodišnji cilj je smanjiti broj nezavršenih upravnih predmeta najviše do </w:t>
      </w:r>
      <w:r w:rsidRPr="00D6413F">
        <w:rPr>
          <w:rFonts w:ascii="Arial" w:hAnsi="Arial" w:cs="Arial"/>
          <w:lang w:val="sr-Cyrl-BA"/>
        </w:rPr>
        <w:t>40</w:t>
      </w:r>
      <w:r w:rsidRPr="00D6413F">
        <w:rPr>
          <w:rFonts w:ascii="Arial" w:hAnsi="Arial" w:cs="Arial"/>
          <w:lang w:val="hr-HR"/>
        </w:rPr>
        <w:t xml:space="preserve"> predmeta.</w:t>
      </w:r>
    </w:p>
    <w:p w:rsidR="00A562D3" w:rsidRPr="00D6413F" w:rsidRDefault="00A562D3" w:rsidP="00A562D3">
      <w:pPr>
        <w:ind w:left="0"/>
        <w:jc w:val="both"/>
        <w:rPr>
          <w:rFonts w:ascii="Arial" w:hAnsi="Arial" w:cs="Arial"/>
          <w:lang w:val="hr-HR"/>
        </w:rPr>
      </w:pPr>
    </w:p>
    <w:p w:rsidR="00A562D3" w:rsidRPr="00D6413F" w:rsidRDefault="00A562D3" w:rsidP="00A562D3">
      <w:pPr>
        <w:ind w:left="0"/>
        <w:jc w:val="both"/>
        <w:rPr>
          <w:rFonts w:ascii="Arial" w:hAnsi="Arial" w:cs="Arial"/>
          <w:lang w:val="hr-BA"/>
        </w:rPr>
      </w:pPr>
      <w:r w:rsidRPr="00D6413F">
        <w:rPr>
          <w:rFonts w:ascii="Arial" w:hAnsi="Arial" w:cs="Arial"/>
          <w:lang w:val="hr-BA"/>
        </w:rPr>
        <w:t xml:space="preserve">Trogodišnji cilj suda je postavljen obzirom na njegov mandat, viziju i misiju, te uočene prioritete u narednom periodu kada je u pitanju ažurnost rješavanja predmeta kod upravnog referata. Sud će planiranim aktivnostima nastojati osigurati dosljednu primjenu Pravilnika o vremenskim okvirima za postupanje po predmetima u sudovima i tužilaštvima u Bosni i Hercegovini.  Ostvarenjem ovog cilja postiće se ujednačavanje standarda za raspoređivanje resursa u sudu, koji će omogućiti efikasno, blagovremeno i profesionalno postupanje po predmetima. </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b/>
          <w:lang w:val="hr-BA"/>
        </w:rPr>
      </w:pPr>
      <w:r w:rsidRPr="00D6413F">
        <w:rPr>
          <w:rFonts w:ascii="Arial" w:hAnsi="Arial" w:cs="Arial"/>
          <w:lang w:val="hr-BA"/>
        </w:rPr>
        <w:t xml:space="preserve">- Trogodišnji </w:t>
      </w:r>
      <w:r w:rsidRPr="00D6413F">
        <w:rPr>
          <w:rFonts w:ascii="Arial" w:hAnsi="Arial" w:cs="Arial"/>
          <w:b/>
          <w:lang w:val="hr-BA"/>
        </w:rPr>
        <w:t>CILJ 3:  Smanjiti broj neriješenih predmeta ratnih zločina.</w:t>
      </w:r>
    </w:p>
    <w:p w:rsidR="00A562D3" w:rsidRPr="00D6413F" w:rsidRDefault="00A562D3" w:rsidP="00A562D3">
      <w:pPr>
        <w:ind w:left="0"/>
        <w:jc w:val="both"/>
        <w:rPr>
          <w:rFonts w:ascii="Arial" w:hAnsi="Arial" w:cs="Arial"/>
          <w:b/>
          <w:lang w:val="hr-BA"/>
        </w:rPr>
      </w:pPr>
    </w:p>
    <w:p w:rsidR="00A562D3" w:rsidRPr="00D6413F" w:rsidRDefault="00A562D3" w:rsidP="00A562D3">
      <w:pPr>
        <w:ind w:left="0"/>
        <w:jc w:val="both"/>
        <w:rPr>
          <w:rFonts w:ascii="Arial" w:hAnsi="Arial" w:cs="Arial"/>
        </w:rPr>
      </w:pPr>
      <w:r w:rsidRPr="00D6413F">
        <w:rPr>
          <w:rFonts w:ascii="Arial" w:hAnsi="Arial" w:cs="Arial"/>
          <w:lang w:val="hr-BA"/>
        </w:rPr>
        <w:t xml:space="preserve">Treći trogodišnji cilj suda je da u okviru svog mandata realizuje postavljene zadatke, a  uzimajući u obzir </w:t>
      </w:r>
      <w:r w:rsidRPr="00D6413F">
        <w:rPr>
          <w:rFonts w:ascii="Arial" w:hAnsi="Arial" w:cs="Arial"/>
        </w:rPr>
        <w:t>Državnu strategiju za rad na predmetima ratnih zločina, te da u ovom narednom trogodišnjem periodu riješi sve predmete ratnih zločina iz prethodnih godina. Na dan 18.11.2024. godine ovaj sud ima ukupno 4 neriješena predmeta ratnog zločina.</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b/>
        </w:rPr>
      </w:pPr>
      <w:r w:rsidRPr="00D6413F">
        <w:rPr>
          <w:rFonts w:ascii="Arial" w:hAnsi="Arial" w:cs="Arial"/>
          <w:b/>
        </w:rPr>
        <w:t>2. '' Unaprijediti dostupnost informacija o radu suda stručnoj i široj javnosti''</w:t>
      </w:r>
    </w:p>
    <w:p w:rsidR="00A562D3" w:rsidRPr="00D6413F" w:rsidRDefault="00A562D3" w:rsidP="00A562D3">
      <w:pPr>
        <w:ind w:left="0"/>
        <w:jc w:val="both"/>
        <w:rPr>
          <w:rFonts w:ascii="Arial" w:hAnsi="Arial" w:cs="Arial"/>
          <w:b/>
        </w:rPr>
      </w:pPr>
    </w:p>
    <w:p w:rsidR="00A562D3" w:rsidRPr="00D6413F" w:rsidRDefault="00A562D3" w:rsidP="00A562D3">
      <w:pPr>
        <w:ind w:left="0"/>
        <w:jc w:val="both"/>
        <w:rPr>
          <w:rFonts w:ascii="Arial" w:hAnsi="Arial" w:cs="Arial"/>
          <w:lang w:val="hr-BA"/>
        </w:rPr>
      </w:pPr>
      <w:r w:rsidRPr="00D6413F">
        <w:rPr>
          <w:rFonts w:ascii="Arial" w:hAnsi="Arial" w:cs="Arial"/>
          <w:lang w:val="hr-BA"/>
        </w:rPr>
        <w:t>Sud će kroz svoje aktivnosti nastojati doprinijeti realizaciji postavljenog strateškog cilja. Pozitivna komunikacija sa javnošću temelji se na kvalitetnom i efikasnom radu pravosudne institucije.</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lastRenderedPageBreak/>
        <w:t>Ostvarenjem navedenog strateškog cilja Okružni sud u Trebinju će nastojati realizovati sljedeće trogodišnje ciljeve:</w:t>
      </w:r>
    </w:p>
    <w:p w:rsidR="00A562D3" w:rsidRPr="00730910" w:rsidRDefault="00A562D3" w:rsidP="00A562D3">
      <w:pPr>
        <w:jc w:val="both"/>
        <w:rPr>
          <w:rFonts w:ascii="Arial" w:hAnsi="Arial" w:cs="Arial"/>
          <w:lang w:val="hr-BA"/>
        </w:rPr>
      </w:pPr>
    </w:p>
    <w:p w:rsidR="00A562D3" w:rsidRPr="00730910" w:rsidRDefault="00A562D3" w:rsidP="00A562D3">
      <w:pPr>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 Trogodišni CILJ 1: Uspostaviti redovnu praksu informisanja javnosti o ulozi i radu Okružnog suda u Trebinju</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 xml:space="preserve">Trogodišnji cilj suda je postavljen da bi bila unaprijeđena komunikacija sa javnošću, te da bi se postigla bolja percepcija javnosti o pravosudnom sistemu u BiH. Ovaj cilj je takođe postavljen i da bi se unaprijedila praksa informisanja javnosti i stepen dostupnosti informacija o radu pravosudne institucije, kao i da se organizuju stručni i promotivni događaji, što će povećati povjerenje stručne i šire javnosti u pravosudni sistem. </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 Trogodišni Cilj 2: Redovno objavljivati statističke podatke o rezultatima rada suda na web stranici</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Drugi trogodišnji cilj suda je postavljen da bi se unaprijedila dostupnost informacija o radu pravosudnih institucija široj javnosti i medijima.</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 Trogodišnji Cilj 3: Redovno i blagovremeno odgovarati na zahtjeve za slobodan pristup informacijama kao i do sada.</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Treći trogodišnji cilj suda jeste blagovremeno odgovarati na sve zahtjeve za slobodan pristup informacijama, kao i do sada.</w:t>
      </w:r>
    </w:p>
    <w:p w:rsidR="00A562D3" w:rsidRPr="00D6413F" w:rsidRDefault="00A562D3" w:rsidP="00A562D3">
      <w:pPr>
        <w:ind w:left="0"/>
        <w:jc w:val="both"/>
        <w:rPr>
          <w:rFonts w:ascii="Arial" w:hAnsi="Arial" w:cs="Arial"/>
          <w:lang w:val="hr-BA"/>
        </w:rPr>
      </w:pPr>
    </w:p>
    <w:p w:rsidR="00A562D3" w:rsidRPr="0031411E" w:rsidRDefault="00A562D3" w:rsidP="00A562D3">
      <w:pPr>
        <w:pStyle w:val="Heading1"/>
        <w:jc w:val="both"/>
        <w:rPr>
          <w:rFonts w:eastAsia="Calibri"/>
        </w:rPr>
      </w:pPr>
      <w:bookmarkStart w:id="19" w:name="_Toc182901247"/>
      <w:r>
        <w:t>4)</w:t>
      </w:r>
      <w:r>
        <w:tab/>
      </w:r>
      <w:r w:rsidRPr="0031411E">
        <w:rPr>
          <w:rFonts w:eastAsia="Calibri"/>
        </w:rPr>
        <w:t>Sažetak prioriteta za plansku godinu, kao i procjene mogućih problema i rizika u realizaciji</w:t>
      </w:r>
      <w:bookmarkEnd w:id="19"/>
      <w:r w:rsidRPr="0031411E">
        <w:rPr>
          <w:rFonts w:eastAsia="Calibri"/>
        </w:rPr>
        <w:t xml:space="preserve"> </w:t>
      </w:r>
    </w:p>
    <w:p w:rsidR="00A562D3" w:rsidRPr="00F17AF0" w:rsidRDefault="00A562D3" w:rsidP="00A562D3">
      <w:pPr>
        <w:spacing w:before="40" w:line="276" w:lineRule="auto"/>
        <w:ind w:left="0"/>
        <w:jc w:val="both"/>
        <w:rPr>
          <w:rFonts w:ascii="Arial" w:hAnsi="Arial" w:cs="Arial"/>
          <w:w w:val="95"/>
          <w:sz w:val="24"/>
          <w:szCs w:val="24"/>
          <w:lang w:val="hr-HR"/>
        </w:rPr>
      </w:pPr>
    </w:p>
    <w:p w:rsidR="00A562D3" w:rsidRPr="00D6413F" w:rsidRDefault="00A562D3" w:rsidP="00A562D3">
      <w:pPr>
        <w:ind w:left="0"/>
        <w:jc w:val="both"/>
        <w:rPr>
          <w:rFonts w:ascii="Arial" w:hAnsi="Arial" w:cs="Arial"/>
          <w:w w:val="95"/>
          <w:lang w:val="hr-HR"/>
        </w:rPr>
      </w:pPr>
      <w:r w:rsidRPr="00D6413F">
        <w:rPr>
          <w:rFonts w:ascii="Arial" w:hAnsi="Arial" w:cs="Arial"/>
          <w:w w:val="95"/>
          <w:lang w:val="hr-HR"/>
        </w:rPr>
        <w:t>(Sažetak prioriteta za plansku godinu, kao i procjene mogućih problema i rizika u realizaciji; napomena: najviše jedna stranica po strateškom cilju. Cilj godišnjeg programa rada jeste prikazati ključne prioritete po strateškim i trogodišnjim ciljevima koje sudovi planiraju realizirati u planskoj godini, pri tome vodeći računa o potencijalnim preprekama za realizaciju u formi potencijalnih problema i rizika. Ukratko navesti koji su prioriteti suda, s kim planirate surađivati, i šta želite ostaviti svojim svakim strateškim ciljem. Tekstualno obrazložiti.)</w:t>
      </w:r>
    </w:p>
    <w:p w:rsidR="00A562D3" w:rsidRPr="00D6413F" w:rsidRDefault="00A562D3" w:rsidP="00A562D3">
      <w:pPr>
        <w:ind w:left="0"/>
        <w:jc w:val="both"/>
        <w:rPr>
          <w:rFonts w:ascii="Arial" w:hAnsi="Arial" w:cs="Arial"/>
          <w:w w:val="95"/>
          <w:lang w:val="hr-HR"/>
        </w:rPr>
      </w:pPr>
    </w:p>
    <w:p w:rsidR="00A562D3" w:rsidRPr="00D6413F" w:rsidRDefault="00A562D3" w:rsidP="00A562D3">
      <w:pPr>
        <w:ind w:left="0"/>
        <w:jc w:val="both"/>
        <w:rPr>
          <w:rFonts w:ascii="Arial" w:hAnsi="Arial" w:cs="Arial"/>
          <w:lang w:val="sr-Latn-RS"/>
        </w:rPr>
      </w:pPr>
      <w:r w:rsidRPr="00D6413F">
        <w:rPr>
          <w:rFonts w:ascii="Arial" w:hAnsi="Arial" w:cs="Arial"/>
          <w:lang w:val="sr-Latn-RS"/>
        </w:rPr>
        <w:t>Okružni sud u Trebinju će u 2025. godini za cilj postaviti sljedeće zadatke, odnosno prioritete, a to su:</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bCs/>
          <w:lang w:val="hr-BA"/>
        </w:rPr>
      </w:pPr>
      <w:r w:rsidRPr="00D6413F">
        <w:rPr>
          <w:rFonts w:ascii="Arial" w:hAnsi="Arial" w:cs="Arial"/>
          <w:b/>
          <w:lang w:val="hr-BA"/>
        </w:rPr>
        <w:t xml:space="preserve">Skraćivanje dužine trajanja postupka u drugostepenim predmetima </w:t>
      </w:r>
      <w:r w:rsidRPr="00D6413F">
        <w:rPr>
          <w:rFonts w:ascii="Arial" w:hAnsi="Arial" w:cs="Arial"/>
          <w:bCs/>
          <w:lang w:val="hr-BA"/>
        </w:rPr>
        <w:t>je da se postigne da dužina</w:t>
      </w:r>
      <w:r w:rsidRPr="00D6413F">
        <w:rPr>
          <w:rFonts w:ascii="Arial" w:hAnsi="Arial" w:cs="Arial"/>
          <w:lang w:val="hr-BA"/>
        </w:rPr>
        <w:t xml:space="preserve"> trajanja svih drugostepenih predmeta u građanskom referatu traje najviše 75 dana, kako je i propisano odredbama Zakona o parničnom postupku.</w:t>
      </w:r>
    </w:p>
    <w:p w:rsidR="00A562D3" w:rsidRDefault="00A562D3" w:rsidP="00A562D3">
      <w:pPr>
        <w:ind w:left="0"/>
        <w:jc w:val="both"/>
        <w:rPr>
          <w:rFonts w:ascii="Arial" w:hAnsi="Arial" w:cs="Arial"/>
          <w:b/>
          <w:lang w:val="hr-BA"/>
        </w:rPr>
      </w:pPr>
    </w:p>
    <w:p w:rsidR="00A562D3" w:rsidRPr="00D6413F" w:rsidRDefault="00A562D3" w:rsidP="00A562D3">
      <w:pPr>
        <w:ind w:left="0"/>
        <w:jc w:val="both"/>
        <w:rPr>
          <w:rFonts w:ascii="Arial" w:hAnsi="Arial" w:cs="Arial"/>
          <w:b/>
          <w:lang w:val="hr-BA"/>
        </w:rPr>
      </w:pPr>
    </w:p>
    <w:p w:rsidR="00A562D3" w:rsidRPr="00D6413F" w:rsidRDefault="00A562D3" w:rsidP="00A562D3">
      <w:pPr>
        <w:ind w:left="0"/>
        <w:jc w:val="both"/>
        <w:rPr>
          <w:rFonts w:ascii="Arial" w:hAnsi="Arial" w:cs="Arial"/>
          <w:b/>
          <w:lang w:val="hr-BA"/>
        </w:rPr>
      </w:pPr>
      <w:r w:rsidRPr="00D6413F">
        <w:rPr>
          <w:rFonts w:ascii="Arial" w:hAnsi="Arial" w:cs="Arial"/>
          <w:b/>
          <w:lang w:val="hr-BA"/>
        </w:rPr>
        <w:t xml:space="preserve">Smanjiti broj neriješenih predmeta na upravnom referatu </w:t>
      </w:r>
      <w:r w:rsidRPr="00D6413F">
        <w:rPr>
          <w:rFonts w:ascii="Arial" w:hAnsi="Arial" w:cs="Arial"/>
          <w:lang w:val="hr-BA"/>
        </w:rPr>
        <w:t xml:space="preserve">kojih zaključno sa 18.11.2024.g. ima 62. Taj cilj bi se trebao postići na osnovu ravnomjerne preraspodjele predmeta, odnosno presignacija predmeta i na druge sudije, da bi se postupci na upravnom referatu okončali po redovnom planu rješavanja predmeta. U Okružni sud u Trebinju od septembra mjeseca 2024. godine je stupio na dužnost jedan sudija koji će svakako doprinijeti ostvarenju ovog cilja. </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rPr>
      </w:pPr>
      <w:r w:rsidRPr="00D6413F">
        <w:rPr>
          <w:rFonts w:ascii="Arial" w:hAnsi="Arial" w:cs="Arial"/>
          <w:b/>
          <w:lang w:val="hr-BA"/>
        </w:rPr>
        <w:lastRenderedPageBreak/>
        <w:t>Smanjiti broj neriješenih predmeta ratnih zločina</w:t>
      </w:r>
      <w:r w:rsidRPr="00D6413F">
        <w:rPr>
          <w:rFonts w:ascii="Arial" w:hAnsi="Arial" w:cs="Arial"/>
          <w:lang w:val="hr-BA"/>
        </w:rPr>
        <w:t xml:space="preserve"> kojih sa danom 18.11.2024. g. ima četiri. Okružni sud će nastojati da u 2025.g.riješi sve predmete ratnog zločina koji se do danas vode pred ovim sudom.</w:t>
      </w:r>
      <w:r w:rsidRPr="00D6413F">
        <w:rPr>
          <w:rFonts w:ascii="Arial" w:hAnsi="Arial" w:cs="Arial"/>
        </w:rPr>
        <w:t xml:space="preserve"> </w:t>
      </w:r>
    </w:p>
    <w:p w:rsidR="00A562D3" w:rsidRDefault="00A562D3" w:rsidP="00A562D3">
      <w:pPr>
        <w:ind w:left="0"/>
        <w:jc w:val="both"/>
        <w:rPr>
          <w:rFonts w:ascii="Arial" w:hAnsi="Arial" w:cs="Arial"/>
        </w:rPr>
      </w:pPr>
      <w:r w:rsidRPr="00D6413F">
        <w:rPr>
          <w:rFonts w:ascii="Arial" w:hAnsi="Arial" w:cs="Arial"/>
        </w:rPr>
        <w:t xml:space="preserve"> </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r w:rsidRPr="00D6413F">
        <w:rPr>
          <w:rFonts w:ascii="Arial" w:hAnsi="Arial" w:cs="Arial"/>
          <w:b/>
        </w:rPr>
        <w:t xml:space="preserve">Zadržati postojeći kvalitet sudskih odluka </w:t>
      </w:r>
      <w:r w:rsidRPr="00D6413F">
        <w:rPr>
          <w:rFonts w:ascii="Arial" w:hAnsi="Arial" w:cs="Arial"/>
        </w:rPr>
        <w:t>kao i svih prethodnih godina, tako što  će Okružni sud u Trebinju i u narednom periodu nastojati zadržati kvalitet sudskih odluka, kao što je to uradio i u 2024.g.,gdje je za prvih devet mjeseci kvalitet sudskih odluka iznosio 90,09%.</w:t>
      </w:r>
    </w:p>
    <w:p w:rsidR="00A562D3" w:rsidRDefault="00A562D3" w:rsidP="00A562D3">
      <w:pPr>
        <w:ind w:left="0"/>
        <w:jc w:val="both"/>
        <w:rPr>
          <w:rFonts w:ascii="Arial" w:hAnsi="Arial" w:cs="Arial"/>
        </w:rPr>
      </w:pPr>
    </w:p>
    <w:p w:rsidR="00A562D3" w:rsidRPr="00D6413F" w:rsidRDefault="00A562D3" w:rsidP="00A562D3">
      <w:pPr>
        <w:ind w:left="0"/>
        <w:jc w:val="both"/>
        <w:rPr>
          <w:rFonts w:ascii="Arial" w:hAnsi="Arial" w:cs="Arial"/>
          <w:lang w:val="hr-HR"/>
        </w:rPr>
      </w:pPr>
      <w:r w:rsidRPr="00FB6681">
        <w:rPr>
          <w:rFonts w:ascii="Arial" w:hAnsi="Arial" w:cs="Arial"/>
          <w:lang w:val="hr-HR"/>
        </w:rPr>
        <w:t>Uspostaviti redovnu praksu informisanja javnosti o ulozi i radu Okružnog suda u Trebinju</w:t>
      </w:r>
      <w:r w:rsidRPr="00D6413F">
        <w:rPr>
          <w:rFonts w:ascii="Arial" w:hAnsi="Arial" w:cs="Arial"/>
          <w:lang w:val="hr-HR"/>
        </w:rPr>
        <w:t xml:space="preserve"> kroz pozitivnu komunikaciju sa javnošću koja se temelji na kvalitetnom i efikasnom radu pravosudne institucije. Ovaj prioritet sud je postavio da bi se postigla bolja percepcija javnosti o pravosudnom sistemu u BiH, a takođe je i postavljen da bi se unaprijedila praksa informisanja javnosti i stepen dostupnosti informacija o radu pravosudne institucije.</w:t>
      </w:r>
    </w:p>
    <w:p w:rsidR="00A562D3" w:rsidRPr="00D6413F" w:rsidRDefault="00A562D3" w:rsidP="00A562D3">
      <w:pPr>
        <w:ind w:left="0"/>
        <w:jc w:val="both"/>
        <w:rPr>
          <w:rFonts w:ascii="Arial" w:hAnsi="Arial" w:cs="Arial"/>
          <w:lang w:val="hr-HR"/>
        </w:rPr>
      </w:pPr>
    </w:p>
    <w:p w:rsidR="00A562D3" w:rsidRPr="00D6413F" w:rsidRDefault="00A562D3" w:rsidP="00A562D3">
      <w:pPr>
        <w:ind w:left="0"/>
        <w:jc w:val="both"/>
        <w:rPr>
          <w:rFonts w:ascii="Arial" w:hAnsi="Arial" w:cs="Arial"/>
          <w:lang w:val="hr-HR"/>
        </w:rPr>
      </w:pPr>
      <w:r w:rsidRPr="00D6413F">
        <w:rPr>
          <w:rFonts w:ascii="Arial" w:hAnsi="Arial" w:cs="Arial"/>
          <w:lang w:val="hr-HR"/>
        </w:rPr>
        <w:t>Redovno objavljivati statističke podatke o rezultatima rada suda na web stranici da bi javnost  bila upoznata o istim.</w:t>
      </w:r>
    </w:p>
    <w:p w:rsidR="00A562D3" w:rsidRPr="00D6413F" w:rsidRDefault="00A562D3" w:rsidP="00A562D3">
      <w:pPr>
        <w:ind w:left="0"/>
        <w:jc w:val="both"/>
        <w:rPr>
          <w:rFonts w:ascii="Arial" w:hAnsi="Arial" w:cs="Arial"/>
          <w:lang w:val="hr-HR"/>
        </w:rPr>
      </w:pPr>
    </w:p>
    <w:p w:rsidR="00A562D3" w:rsidRPr="00D6413F" w:rsidRDefault="00A562D3" w:rsidP="00A562D3">
      <w:pPr>
        <w:ind w:left="0"/>
        <w:jc w:val="both"/>
        <w:rPr>
          <w:rFonts w:ascii="Arial" w:hAnsi="Arial" w:cs="Arial"/>
          <w:lang w:val="hr-HR"/>
        </w:rPr>
      </w:pPr>
      <w:r w:rsidRPr="00D6413F">
        <w:rPr>
          <w:rFonts w:ascii="Arial" w:hAnsi="Arial" w:cs="Arial"/>
          <w:lang w:val="hr-HR"/>
        </w:rPr>
        <w:t xml:space="preserve">Redovno i blagovremeno odgovarati na zahtjeve za slobodan pristup informacijama.  U eri brzog protoka i razmjene informacija pravosudni organi bi trebalo u mjeri u kojoj to dozvoljava zakon i pravila postupka, da grade povjerenje javnosti tako što će medijima i građanima </w:t>
      </w:r>
      <w:bookmarkStart w:id="20" w:name="_GoBack"/>
      <w:bookmarkEnd w:id="20"/>
      <w:r w:rsidRPr="00D6413F">
        <w:rPr>
          <w:rFonts w:ascii="Arial" w:hAnsi="Arial" w:cs="Arial"/>
          <w:lang w:val="hr-HR"/>
        </w:rPr>
        <w:t>odgovorno i profesionalno dostavljati tražene informacije. Pravosuđe mora da nađe i delikatnu ravnotežu između legitimnog prava javnosti da bude informisana sa jedne strane i poštovanja pretpostavke nevinosti, te zaštiti ličnih podataka, prava žrtava i svjedoka i drugih strana u postupku sa druge strane.</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r w:rsidRPr="00D6413F">
        <w:rPr>
          <w:rFonts w:ascii="Arial" w:hAnsi="Arial" w:cs="Arial"/>
        </w:rPr>
        <w:t>Okružni sud u Trebinju će pored redovnog rješavanja predmeta kao i rješavanja starih predmeta iz 2024.g., realizovati i sledeće poslove u okviru svog djelokruga rada i to:</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Sačiniti statističke podatke o radu suda tokom 2025.g.</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Sačiniti plan rješavanja predmeta za 2025.g.</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Izvršiti ocjenu sudija</w:t>
      </w:r>
      <w:r>
        <w:rPr>
          <w:rFonts w:ascii="Arial" w:hAnsi="Arial" w:cs="Arial"/>
        </w:rPr>
        <w:t>,</w:t>
      </w:r>
      <w:r w:rsidRPr="00D067E9">
        <w:rPr>
          <w:rFonts w:ascii="Arial" w:hAnsi="Arial" w:cs="Arial"/>
        </w:rPr>
        <w:t xml:space="preserve"> </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Izvršiti provjeru unosa podataka u CMS</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Redovno i blagovremeno sačinjavati plan dežurstva sudija i ostalog osoblja</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Obezbijediti kontrolu i pregled ispravnosti informatičke opreme</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Izvršiti plan javnih nabavki</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Uredno i blagovremeno sačinjavati i dostavljati statističke izvještaje o radu suda nadležnim državnim organima i službama</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Sačiniti izvještaje FUK i izraditi knjigu poslovnih procesa</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Redovno obilaziti pritvorenike u KPZ Trebinje</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Kontrolisati uplatu sudskih taksi i pravilno zaduženje istih</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Vršiti internu kontrolu računovodstvenih postupaka</w:t>
      </w:r>
      <w:r>
        <w:rPr>
          <w:rFonts w:ascii="Arial" w:hAnsi="Arial" w:cs="Arial"/>
        </w:rPr>
        <w:t>,</w:t>
      </w:r>
    </w:p>
    <w:p w:rsidR="00A562D3" w:rsidRPr="00D067E9" w:rsidRDefault="00A562D3" w:rsidP="00A562D3">
      <w:pPr>
        <w:pStyle w:val="ListParagraph"/>
        <w:numPr>
          <w:ilvl w:val="0"/>
          <w:numId w:val="16"/>
        </w:numPr>
        <w:jc w:val="both"/>
        <w:rPr>
          <w:rFonts w:ascii="Arial" w:hAnsi="Arial" w:cs="Arial"/>
        </w:rPr>
      </w:pPr>
      <w:r w:rsidRPr="00D067E9">
        <w:rPr>
          <w:rFonts w:ascii="Arial" w:hAnsi="Arial" w:cs="Arial"/>
        </w:rPr>
        <w:t>Održavati redovne sastanke sa predsjednicima Osnovnog suda u Trebinju i Osnovnog suda u Foči</w:t>
      </w:r>
      <w:r>
        <w:rPr>
          <w:rFonts w:ascii="Arial" w:hAnsi="Arial" w:cs="Arial"/>
        </w:rPr>
        <w:t>.</w:t>
      </w:r>
    </w:p>
    <w:p w:rsidR="00A562D3" w:rsidRPr="00E16259" w:rsidRDefault="00A562D3" w:rsidP="00A562D3">
      <w:pPr>
        <w:pStyle w:val="ListParagraph"/>
        <w:numPr>
          <w:ilvl w:val="0"/>
          <w:numId w:val="16"/>
        </w:numPr>
        <w:jc w:val="both"/>
        <w:rPr>
          <w:rFonts w:ascii="Arial" w:hAnsi="Arial" w:cs="Arial"/>
        </w:rPr>
      </w:pPr>
      <w:r w:rsidRPr="00E16259">
        <w:rPr>
          <w:rFonts w:ascii="Arial" w:hAnsi="Arial" w:cs="Arial"/>
        </w:rPr>
        <w:t>Izvršavati blagovremeno sve poslove i zadatke koji budu proizilazili iz obaveza ovog suda prema Vrhovnom sudu RS, Ministarstvu pravde RS, sudu BiH, VSTV BiH, Ustavnim sudovima i drugim pravosudnim organima u državi</w:t>
      </w:r>
    </w:p>
    <w:p w:rsidR="00A562D3" w:rsidRPr="00E16259" w:rsidRDefault="00A562D3" w:rsidP="00A562D3">
      <w:pPr>
        <w:pStyle w:val="ListParagraph"/>
        <w:numPr>
          <w:ilvl w:val="0"/>
          <w:numId w:val="16"/>
        </w:numPr>
        <w:jc w:val="both"/>
        <w:rPr>
          <w:rFonts w:ascii="Arial" w:hAnsi="Arial" w:cs="Arial"/>
        </w:rPr>
      </w:pPr>
      <w:r w:rsidRPr="00E16259">
        <w:rPr>
          <w:rFonts w:ascii="Arial" w:hAnsi="Arial" w:cs="Arial"/>
        </w:rPr>
        <w:t>Unaprijediti dostupnost informacija o radu suda stručnoj i široj javnosti</w:t>
      </w:r>
    </w:p>
    <w:p w:rsidR="00A562D3" w:rsidRPr="00E16259" w:rsidRDefault="00A562D3" w:rsidP="00A562D3">
      <w:pPr>
        <w:pStyle w:val="ListParagraph"/>
        <w:numPr>
          <w:ilvl w:val="0"/>
          <w:numId w:val="16"/>
        </w:numPr>
        <w:jc w:val="both"/>
        <w:rPr>
          <w:rFonts w:ascii="Arial" w:hAnsi="Arial" w:cs="Arial"/>
        </w:rPr>
      </w:pPr>
      <w:r w:rsidRPr="00E16259">
        <w:rPr>
          <w:rFonts w:ascii="Arial" w:hAnsi="Arial" w:cs="Arial"/>
        </w:rPr>
        <w:t>Sačiniti Plan integriteta</w:t>
      </w:r>
    </w:p>
    <w:p w:rsidR="00A562D3" w:rsidRPr="00E16259" w:rsidRDefault="00A562D3" w:rsidP="00A562D3">
      <w:pPr>
        <w:pStyle w:val="ListParagraph"/>
        <w:numPr>
          <w:ilvl w:val="0"/>
          <w:numId w:val="16"/>
        </w:numPr>
        <w:jc w:val="both"/>
        <w:rPr>
          <w:rFonts w:ascii="Arial" w:hAnsi="Arial" w:cs="Arial"/>
        </w:rPr>
      </w:pPr>
      <w:r w:rsidRPr="00E16259">
        <w:rPr>
          <w:rFonts w:ascii="Arial" w:hAnsi="Arial" w:cs="Arial"/>
        </w:rPr>
        <w:t xml:space="preserve">Sačiniti trogodišnji akcioni plan za implementaciju Strategije za unapređenje rodne ravnopravnosti u pravosuđu BiH. </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lastRenderedPageBreak/>
        <w:t>Okružni sud u Trebinju će za efikasniji rad suda preduzeti sljedeće mjere:</w:t>
      </w:r>
    </w:p>
    <w:p w:rsidR="00A562D3" w:rsidRDefault="00A562D3" w:rsidP="00A562D3">
      <w:pPr>
        <w:ind w:left="0"/>
        <w:jc w:val="both"/>
        <w:rPr>
          <w:rFonts w:ascii="Arial" w:hAnsi="Arial" w:cs="Arial"/>
          <w:lang w:val="hr-BA"/>
        </w:rPr>
      </w:pPr>
    </w:p>
    <w:p w:rsidR="00A562D3" w:rsidRPr="002C4CEC" w:rsidRDefault="00A562D3" w:rsidP="002C4CEC">
      <w:pPr>
        <w:ind w:left="0"/>
        <w:jc w:val="both"/>
        <w:rPr>
          <w:rFonts w:ascii="Arial" w:hAnsi="Arial" w:cs="Arial"/>
        </w:rPr>
      </w:pPr>
    </w:p>
    <w:p w:rsidR="00A562D3" w:rsidRPr="002C4CEC" w:rsidRDefault="00A562D3" w:rsidP="002C4CEC">
      <w:pPr>
        <w:pStyle w:val="ListParagraph"/>
        <w:numPr>
          <w:ilvl w:val="0"/>
          <w:numId w:val="16"/>
        </w:numPr>
        <w:jc w:val="both"/>
        <w:rPr>
          <w:rFonts w:ascii="Arial" w:hAnsi="Arial" w:cs="Arial"/>
        </w:rPr>
      </w:pPr>
      <w:r w:rsidRPr="002C4CEC">
        <w:rPr>
          <w:rFonts w:ascii="Arial" w:hAnsi="Arial" w:cs="Arial"/>
          <w:lang w:val="hr-BA"/>
        </w:rPr>
        <w:t>Redovno održavati kolegijume i sjednice parničnog i krivičnog odjeljenja</w:t>
      </w:r>
    </w:p>
    <w:p w:rsidR="00A562D3" w:rsidRDefault="00A562D3" w:rsidP="002C4CEC">
      <w:pPr>
        <w:pStyle w:val="ListParagraph"/>
        <w:numPr>
          <w:ilvl w:val="0"/>
          <w:numId w:val="16"/>
        </w:numPr>
        <w:jc w:val="both"/>
        <w:rPr>
          <w:rFonts w:ascii="Arial" w:hAnsi="Arial" w:cs="Arial"/>
        </w:rPr>
      </w:pPr>
      <w:r w:rsidRPr="002C4CEC">
        <w:rPr>
          <w:rFonts w:ascii="Arial" w:hAnsi="Arial" w:cs="Arial"/>
          <w:lang w:val="hr-BA"/>
        </w:rPr>
        <w:t>Redovno pratiti efikasnost u rješavanju svih vrsta predmeta, naročito pr</w:t>
      </w:r>
      <w:r w:rsidRPr="002C4CEC">
        <w:rPr>
          <w:rFonts w:ascii="Arial" w:hAnsi="Arial" w:cs="Arial"/>
        </w:rPr>
        <w:t>atiti rješavanje predmeta iz plana</w:t>
      </w:r>
    </w:p>
    <w:p w:rsidR="00A562D3" w:rsidRPr="002C4CEC" w:rsidRDefault="00A562D3" w:rsidP="002C4CEC">
      <w:pPr>
        <w:pStyle w:val="ListParagraph"/>
        <w:numPr>
          <w:ilvl w:val="0"/>
          <w:numId w:val="16"/>
        </w:numPr>
        <w:jc w:val="both"/>
        <w:rPr>
          <w:rFonts w:ascii="Arial" w:hAnsi="Arial" w:cs="Arial"/>
        </w:rPr>
      </w:pPr>
      <w:r w:rsidRPr="002C4CEC">
        <w:rPr>
          <w:rFonts w:ascii="Arial" w:hAnsi="Arial" w:cs="Arial"/>
          <w:lang w:val="hr-BA"/>
        </w:rPr>
        <w:t>Vršiti odgovarajuću edukaciju kako u skladu sa programom CEST RS, tako i drugim eventualnim programima vezanim za edukaciju</w:t>
      </w:r>
    </w:p>
    <w:p w:rsidR="00A562D3" w:rsidRPr="002C4CEC" w:rsidRDefault="00A562D3" w:rsidP="002C4CEC">
      <w:pPr>
        <w:pStyle w:val="ListParagraph"/>
        <w:numPr>
          <w:ilvl w:val="0"/>
          <w:numId w:val="16"/>
        </w:numPr>
        <w:jc w:val="both"/>
        <w:rPr>
          <w:rFonts w:ascii="Arial" w:hAnsi="Arial" w:cs="Arial"/>
        </w:rPr>
      </w:pPr>
      <w:r w:rsidRPr="002C4CEC">
        <w:rPr>
          <w:rFonts w:ascii="Arial" w:hAnsi="Arial" w:cs="Arial"/>
          <w:lang w:val="hr-BA"/>
        </w:rPr>
        <w:t>Redovno pratiti sudsku praksu</w:t>
      </w:r>
    </w:p>
    <w:p w:rsidR="00A562D3" w:rsidRPr="002C4CEC" w:rsidRDefault="00A562D3" w:rsidP="002C4CEC">
      <w:pPr>
        <w:pStyle w:val="ListParagraph"/>
        <w:numPr>
          <w:ilvl w:val="0"/>
          <w:numId w:val="16"/>
        </w:numPr>
        <w:jc w:val="both"/>
        <w:rPr>
          <w:rFonts w:ascii="Arial" w:hAnsi="Arial" w:cs="Arial"/>
        </w:rPr>
      </w:pPr>
      <w:r w:rsidRPr="002C4CEC">
        <w:rPr>
          <w:rFonts w:ascii="Arial" w:hAnsi="Arial" w:cs="Arial"/>
          <w:lang w:val="hr-BA"/>
        </w:rPr>
        <w:t>Kontinuirano raditi na poboljšanju uslova rada sudija i svih zaposlenih u skladu sa obezbjeđenim sredstvima budžeta Okružnog suda u Trebinju za 2025.g.</w:t>
      </w: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p>
    <w:p w:rsidR="00A562D3" w:rsidRPr="00D6413F" w:rsidRDefault="00A562D3" w:rsidP="00A562D3">
      <w:pPr>
        <w:ind w:left="0"/>
        <w:jc w:val="both"/>
        <w:rPr>
          <w:rFonts w:ascii="Arial" w:hAnsi="Arial" w:cs="Arial"/>
          <w:lang w:val="hr-BA"/>
        </w:rPr>
      </w:pPr>
      <w:r w:rsidRPr="00D6413F">
        <w:rPr>
          <w:rFonts w:ascii="Arial" w:hAnsi="Arial" w:cs="Arial"/>
          <w:lang w:val="hr-BA"/>
        </w:rPr>
        <w:t xml:space="preserve">Okružni sud u Trebinju će nastojati da kroz postavljene ciljeve za 2025.g., mjere za efikasniji rad suda doprinese uspješnom okončanju svih postavljenih ciljeva i zadataka na što efikasniji način, jer Okružni sud kao svoje najveće snage ističe stručne, iskusne i edukovane sudije i zaposlenike suda, te dobre materijalno-tehničke opremljenosti suda. </w:t>
      </w:r>
    </w:p>
    <w:p w:rsidR="00A562D3" w:rsidRPr="0067505E" w:rsidRDefault="00A562D3" w:rsidP="00A562D3">
      <w:pPr>
        <w:spacing w:before="40" w:line="276" w:lineRule="auto"/>
        <w:jc w:val="both"/>
        <w:rPr>
          <w:rFonts w:ascii="Arial" w:hAnsi="Arial" w:cs="Arial"/>
          <w:w w:val="95"/>
          <w:lang w:val="hr-HR"/>
        </w:rPr>
      </w:pPr>
    </w:p>
    <w:p w:rsidR="00A562D3" w:rsidRPr="0067505E" w:rsidRDefault="00A562D3" w:rsidP="00A562D3">
      <w:pPr>
        <w:contextualSpacing/>
        <w:rPr>
          <w:rFonts w:ascii="Arial" w:eastAsia="Calibri" w:hAnsi="Arial" w:cs="Arial"/>
        </w:rPr>
      </w:pPr>
      <w:r w:rsidRPr="0067505E">
        <w:rPr>
          <w:rFonts w:ascii="Arial" w:eastAsia="Calibri" w:hAnsi="Arial" w:cs="Arial"/>
        </w:rPr>
        <w:br w:type="page"/>
      </w:r>
    </w:p>
    <w:p w:rsidR="00A562D3" w:rsidRPr="009336F9" w:rsidRDefault="00A562D3" w:rsidP="00A562D3">
      <w:pPr>
        <w:pStyle w:val="Heading1"/>
        <w:rPr>
          <w:rFonts w:eastAsia="Calibri"/>
        </w:rPr>
      </w:pPr>
      <w:bookmarkStart w:id="21" w:name="_Toc182901248"/>
      <w:r>
        <w:lastRenderedPageBreak/>
        <w:t>4)</w:t>
      </w:r>
      <w:r>
        <w:tab/>
      </w:r>
      <w:r w:rsidRPr="009336F9">
        <w:rPr>
          <w:rFonts w:eastAsia="Calibri"/>
        </w:rPr>
        <w:t>Analiza unut</w:t>
      </w:r>
      <w:r>
        <w:rPr>
          <w:rFonts w:eastAsia="Calibri"/>
        </w:rPr>
        <w:t>a</w:t>
      </w:r>
      <w:r w:rsidRPr="009336F9">
        <w:rPr>
          <w:rFonts w:eastAsia="Calibri"/>
        </w:rPr>
        <w:t>rnjeg i vanjskog okruženja u kojem radi sud</w:t>
      </w:r>
      <w:bookmarkEnd w:id="21"/>
    </w:p>
    <w:p w:rsidR="00A562D3" w:rsidRDefault="00A562D3" w:rsidP="00A562D3">
      <w:pPr>
        <w:pStyle w:val="ListParagraph"/>
        <w:shd w:val="clear" w:color="auto" w:fill="FFFFFF"/>
        <w:spacing w:line="276" w:lineRule="auto"/>
        <w:ind w:left="0"/>
        <w:jc w:val="both"/>
        <w:rPr>
          <w:rFonts w:ascii="Arial" w:eastAsia="Calibri" w:hAnsi="Arial" w:cs="Arial"/>
          <w:w w:val="95"/>
          <w:sz w:val="24"/>
          <w:szCs w:val="24"/>
          <w:lang w:val="hr-HR"/>
        </w:rPr>
      </w:pPr>
    </w:p>
    <w:p w:rsidR="00A562D3" w:rsidRDefault="00A562D3" w:rsidP="00A562D3">
      <w:pPr>
        <w:shd w:val="clear" w:color="auto" w:fill="FFFFFF"/>
        <w:spacing w:line="276" w:lineRule="auto"/>
        <w:ind w:left="0" w:right="146"/>
        <w:jc w:val="both"/>
        <w:rPr>
          <w:rFonts w:ascii="Arial" w:eastAsia="Calibri" w:hAnsi="Arial" w:cs="Arial"/>
          <w:w w:val="95"/>
          <w:lang w:val="hr-HR"/>
        </w:rPr>
      </w:pPr>
      <w:r w:rsidRPr="00147DD8">
        <w:rPr>
          <w:rFonts w:ascii="Arial" w:eastAsia="Calibri" w:hAnsi="Arial" w:cs="Arial"/>
          <w:w w:val="95"/>
          <w:sz w:val="24"/>
          <w:szCs w:val="24"/>
          <w:lang w:val="hr-HR"/>
        </w:rPr>
        <w:t>(</w:t>
      </w:r>
      <w:r w:rsidRPr="00147DD8">
        <w:rPr>
          <w:rFonts w:ascii="Arial" w:eastAsia="Calibri" w:hAnsi="Arial" w:cs="Arial"/>
          <w:w w:val="95"/>
          <w:lang w:val="hr-HR"/>
        </w:rPr>
        <w:t>SWOT analiza ne bi treb</w:t>
      </w:r>
      <w:r>
        <w:rPr>
          <w:rFonts w:ascii="Arial" w:eastAsia="Calibri" w:hAnsi="Arial" w:cs="Arial"/>
          <w:w w:val="95"/>
          <w:lang w:val="hr-HR"/>
        </w:rPr>
        <w:t>ala biti duža od dvije stranice ispod tabele je potrebno ukratko obrazložiti Snage/Slabosti/Prilike/Prijetnje)</w:t>
      </w:r>
    </w:p>
    <w:p w:rsidR="00A562D3" w:rsidRPr="00147DD8" w:rsidRDefault="00A562D3" w:rsidP="00A562D3">
      <w:pPr>
        <w:shd w:val="clear" w:color="auto" w:fill="FFFFFF"/>
        <w:spacing w:line="276" w:lineRule="auto"/>
        <w:ind w:left="0" w:right="146"/>
        <w:jc w:val="both"/>
        <w:rPr>
          <w:rFonts w:ascii="Arial" w:eastAsia="Calibri" w:hAnsi="Arial" w:cs="Arial"/>
          <w:w w:val="95"/>
          <w:lang w:val="hr-HR"/>
        </w:rPr>
      </w:pPr>
    </w:p>
    <w:p w:rsidR="00A562D3" w:rsidRDefault="00A562D3" w:rsidP="00A562D3">
      <w:pPr>
        <w:shd w:val="clear" w:color="auto" w:fill="FFFFFF"/>
        <w:spacing w:line="276" w:lineRule="auto"/>
        <w:ind w:left="0"/>
        <w:jc w:val="both"/>
        <w:rPr>
          <w:rFonts w:ascii="Arial" w:eastAsia="Calibri" w:hAnsi="Arial" w:cs="Arial"/>
          <w:w w:val="95"/>
          <w:lang w:val="hr-HR"/>
        </w:rPr>
      </w:pPr>
      <w:r w:rsidRPr="00412FFE">
        <w:rPr>
          <w:rFonts w:ascii="Arial" w:eastAsia="Calibri" w:hAnsi="Arial" w:cs="Arial"/>
          <w:w w:val="95"/>
          <w:lang w:val="hr-HR"/>
        </w:rPr>
        <w:t xml:space="preserve">„SWOT“ analiza jedna je od najpoznatijih i osnovnih tehnika strateške analize. Riječ je o jednom od ključnih alata kod donošenja strateških odluka. Ova analiza identificira i analizira četiri aspekta, a to su: </w:t>
      </w:r>
      <w:r w:rsidRPr="00412FFE">
        <w:rPr>
          <w:rFonts w:ascii="Arial" w:eastAsia="Calibri" w:hAnsi="Arial" w:cs="Arial"/>
          <w:b/>
          <w:bCs/>
          <w:w w:val="95"/>
          <w:lang w:val="hr-HR"/>
        </w:rPr>
        <w:t>S</w:t>
      </w:r>
      <w:r w:rsidRPr="00412FFE">
        <w:rPr>
          <w:rFonts w:ascii="Arial" w:eastAsia="Calibri" w:hAnsi="Arial" w:cs="Arial"/>
          <w:w w:val="95"/>
          <w:lang w:val="hr-HR"/>
        </w:rPr>
        <w:t xml:space="preserve"> Strengths (Snage), </w:t>
      </w:r>
      <w:r w:rsidRPr="00412FFE">
        <w:rPr>
          <w:rFonts w:ascii="Arial" w:eastAsia="Calibri" w:hAnsi="Arial" w:cs="Arial"/>
          <w:b/>
          <w:bCs/>
          <w:w w:val="95"/>
          <w:lang w:val="hr-HR"/>
        </w:rPr>
        <w:t>W</w:t>
      </w:r>
      <w:r w:rsidRPr="00412FFE">
        <w:rPr>
          <w:rFonts w:ascii="Arial" w:eastAsia="Calibri" w:hAnsi="Arial" w:cs="Arial"/>
          <w:w w:val="95"/>
          <w:lang w:val="hr-HR"/>
        </w:rPr>
        <w:t xml:space="preserve"> Weaknesses (Slabosti), </w:t>
      </w:r>
      <w:r w:rsidRPr="00412FFE">
        <w:rPr>
          <w:rFonts w:ascii="Arial" w:eastAsia="Calibri" w:hAnsi="Arial" w:cs="Arial"/>
          <w:b/>
          <w:bCs/>
          <w:w w:val="95"/>
          <w:lang w:val="hr-HR"/>
        </w:rPr>
        <w:t>O</w:t>
      </w:r>
      <w:r w:rsidRPr="00412FFE">
        <w:rPr>
          <w:rFonts w:ascii="Arial" w:eastAsia="Calibri" w:hAnsi="Arial" w:cs="Arial"/>
          <w:w w:val="95"/>
          <w:lang w:val="hr-HR"/>
        </w:rPr>
        <w:t xml:space="preserve"> Opportunities (Prilike) i </w:t>
      </w:r>
      <w:r w:rsidRPr="00412FFE">
        <w:rPr>
          <w:rFonts w:ascii="Arial" w:eastAsia="Calibri" w:hAnsi="Arial" w:cs="Arial"/>
          <w:b/>
          <w:bCs/>
          <w:w w:val="95"/>
          <w:lang w:val="hr-HR"/>
        </w:rPr>
        <w:t>T</w:t>
      </w:r>
      <w:r w:rsidRPr="00412FFE">
        <w:rPr>
          <w:rFonts w:ascii="Arial" w:eastAsia="Calibri" w:hAnsi="Arial" w:cs="Arial"/>
          <w:w w:val="95"/>
          <w:lang w:val="hr-HR"/>
        </w:rPr>
        <w:t xml:space="preserve"> Threats (Prijetnje). Promatranjem vlastitih snaga i slabosti u kombinaciji s prilikama i prijetnjama iz okruženja dolazimo do strateških saznanja kako bismo mogli poduzeti pravilne mjere i aktivnosti za postizanje željenih i drugih ciljeva.</w:t>
      </w:r>
    </w:p>
    <w:p w:rsidR="00A562D3" w:rsidRPr="00412FFE" w:rsidRDefault="00A562D3" w:rsidP="00A562D3">
      <w:pPr>
        <w:shd w:val="clear" w:color="auto" w:fill="FFFFFF"/>
        <w:spacing w:line="276" w:lineRule="auto"/>
        <w:ind w:left="0"/>
        <w:jc w:val="both"/>
        <w:rPr>
          <w:rFonts w:ascii="Arial" w:eastAsia="Calibri" w:hAnsi="Arial" w:cs="Arial"/>
          <w:w w:val="95"/>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5"/>
        <w:gridCol w:w="4159"/>
        <w:gridCol w:w="4158"/>
      </w:tblGrid>
      <w:tr w:rsidR="00A562D3" w:rsidRPr="009336F9" w:rsidTr="00B9322C">
        <w:trPr>
          <w:trHeight w:val="670"/>
        </w:trPr>
        <w:tc>
          <w:tcPr>
            <w:tcW w:w="411" w:type="pct"/>
            <w:vMerge w:val="restart"/>
            <w:tcBorders>
              <w:right w:val="single" w:sz="4" w:space="0" w:color="auto"/>
            </w:tcBorders>
            <w:shd w:val="clear" w:color="auto" w:fill="FFC000"/>
            <w:textDirection w:val="btLr"/>
            <w:vAlign w:val="center"/>
          </w:tcPr>
          <w:p w:rsidR="00A562D3" w:rsidRPr="009336F9" w:rsidRDefault="00A562D3" w:rsidP="00B932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UNUTARNJI </w:t>
            </w:r>
            <w:r>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rsidR="00A562D3" w:rsidRPr="009336F9" w:rsidRDefault="00A562D3" w:rsidP="00B932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SNAGE (STRENGTHS)</w:t>
            </w:r>
          </w:p>
        </w:tc>
        <w:tc>
          <w:tcPr>
            <w:tcW w:w="2294" w:type="pct"/>
            <w:shd w:val="clear" w:color="auto" w:fill="0070C0"/>
            <w:vAlign w:val="center"/>
          </w:tcPr>
          <w:p w:rsidR="00A562D3" w:rsidRPr="009336F9" w:rsidRDefault="00A562D3" w:rsidP="00B932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SLABOSTI (WEAKNESSES)</w:t>
            </w:r>
          </w:p>
        </w:tc>
      </w:tr>
      <w:tr w:rsidR="00A562D3" w:rsidRPr="009336F9" w:rsidTr="00B9322C">
        <w:trPr>
          <w:trHeight w:val="1670"/>
        </w:trPr>
        <w:tc>
          <w:tcPr>
            <w:tcW w:w="411" w:type="pct"/>
            <w:vMerge/>
            <w:tcBorders>
              <w:right w:val="single" w:sz="4" w:space="0" w:color="auto"/>
            </w:tcBorders>
            <w:shd w:val="clear" w:color="auto" w:fill="FFC000"/>
            <w:textDirection w:val="btLr"/>
          </w:tcPr>
          <w:p w:rsidR="00A562D3" w:rsidRPr="009336F9" w:rsidRDefault="00A562D3" w:rsidP="00A562D3">
            <w:pPr>
              <w:numPr>
                <w:ilvl w:val="0"/>
                <w:numId w:val="1"/>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rsidR="00A562D3" w:rsidRPr="00247C97" w:rsidRDefault="00A562D3" w:rsidP="00B9322C">
            <w:pPr>
              <w:pStyle w:val="ListParagraph"/>
              <w:spacing w:after="60"/>
              <w:ind w:left="360"/>
              <w:rPr>
                <w:rFonts w:ascii="Arial" w:eastAsia="Calibri" w:hAnsi="Arial" w:cs="Arial"/>
                <w:noProof/>
                <w:w w:val="95"/>
                <w:lang w:val="hr-HR"/>
              </w:rPr>
            </w:pPr>
          </w:p>
          <w:p w:rsidR="00A562D3" w:rsidRPr="00F64AE0" w:rsidRDefault="00A562D3" w:rsidP="00A562D3">
            <w:pPr>
              <w:pStyle w:val="ListParagraph"/>
              <w:numPr>
                <w:ilvl w:val="0"/>
                <w:numId w:val="8"/>
              </w:numPr>
              <w:spacing w:after="60"/>
              <w:rPr>
                <w:rFonts w:ascii="Arial" w:hAnsi="Arial" w:cs="Arial"/>
                <w:b/>
                <w:sz w:val="20"/>
                <w:szCs w:val="20"/>
                <w:lang w:val="hr-HR"/>
              </w:rPr>
            </w:pPr>
            <w:r w:rsidRPr="00F64AE0">
              <w:rPr>
                <w:rFonts w:ascii="Arial" w:hAnsi="Arial" w:cs="Arial"/>
                <w:b/>
                <w:sz w:val="20"/>
                <w:szCs w:val="20"/>
                <w:lang w:val="hr-HR"/>
              </w:rPr>
              <w:t>Stručan kadar unutar suda i sudije sa višegodišnjim iskustvom</w:t>
            </w:r>
          </w:p>
          <w:p w:rsidR="00A562D3" w:rsidRPr="00F64AE0" w:rsidRDefault="00A562D3" w:rsidP="00A562D3">
            <w:pPr>
              <w:pStyle w:val="ListParagraph"/>
              <w:numPr>
                <w:ilvl w:val="0"/>
                <w:numId w:val="9"/>
              </w:numPr>
              <w:spacing w:after="60"/>
              <w:rPr>
                <w:rFonts w:ascii="Arial" w:hAnsi="Arial" w:cs="Arial"/>
                <w:b/>
                <w:sz w:val="20"/>
                <w:szCs w:val="20"/>
                <w:lang w:val="hr-HR"/>
              </w:rPr>
            </w:pPr>
            <w:r w:rsidRPr="00F64AE0">
              <w:rPr>
                <w:rFonts w:ascii="Arial" w:hAnsi="Arial" w:cs="Arial"/>
                <w:b/>
                <w:sz w:val="20"/>
                <w:szCs w:val="20"/>
                <w:lang w:val="hr-HR"/>
              </w:rPr>
              <w:t>Odlična saradnja sa ostalim pravosudnim i drugim institucijamana nivou BiH i RS, kao i sa međunarodnim organizacijama</w:t>
            </w:r>
          </w:p>
          <w:p w:rsidR="00A562D3" w:rsidRPr="00F64AE0" w:rsidRDefault="00A562D3" w:rsidP="00A562D3">
            <w:pPr>
              <w:pStyle w:val="ListParagraph"/>
              <w:numPr>
                <w:ilvl w:val="0"/>
                <w:numId w:val="10"/>
              </w:numPr>
              <w:spacing w:after="60"/>
              <w:rPr>
                <w:rFonts w:ascii="Arial" w:hAnsi="Arial" w:cs="Arial"/>
                <w:b/>
                <w:sz w:val="20"/>
                <w:szCs w:val="20"/>
                <w:lang w:val="hr-HR"/>
              </w:rPr>
            </w:pPr>
            <w:r w:rsidRPr="00F64AE0">
              <w:rPr>
                <w:rFonts w:ascii="Arial" w:hAnsi="Arial" w:cs="Arial"/>
                <w:b/>
                <w:sz w:val="20"/>
                <w:szCs w:val="20"/>
                <w:lang w:val="hr-HR"/>
              </w:rPr>
              <w:t>Zavidni nivo opremljenosti IT opremom i materijalno tehnička opremljenost</w:t>
            </w:r>
          </w:p>
          <w:p w:rsidR="00A562D3" w:rsidRPr="00C02A2A" w:rsidRDefault="00A562D3" w:rsidP="00A562D3">
            <w:pPr>
              <w:pStyle w:val="ListParagraph"/>
              <w:numPr>
                <w:ilvl w:val="0"/>
                <w:numId w:val="11"/>
              </w:numPr>
              <w:spacing w:after="60"/>
              <w:rPr>
                <w:rFonts w:ascii="Arial" w:eastAsia="Calibri" w:hAnsi="Arial" w:cs="Arial"/>
                <w:noProof/>
                <w:w w:val="95"/>
                <w:lang w:val="hr-HR"/>
              </w:rPr>
            </w:pPr>
            <w:r w:rsidRPr="00F64AE0">
              <w:rPr>
                <w:rFonts w:ascii="Arial" w:hAnsi="Arial" w:cs="Arial"/>
                <w:b/>
                <w:sz w:val="20"/>
                <w:szCs w:val="20"/>
                <w:lang w:val="hr-HR"/>
              </w:rPr>
              <w:t>Redovne isplate plata i doprinosa za sve zaposlene</w:t>
            </w:r>
          </w:p>
        </w:tc>
        <w:tc>
          <w:tcPr>
            <w:tcW w:w="2294" w:type="pct"/>
            <w:shd w:val="clear" w:color="auto" w:fill="FFFFFF"/>
          </w:tcPr>
          <w:p w:rsidR="00A562D3" w:rsidRDefault="00A562D3" w:rsidP="00B9322C">
            <w:pPr>
              <w:pStyle w:val="ListParagraph"/>
              <w:spacing w:after="60"/>
              <w:ind w:left="360"/>
              <w:rPr>
                <w:rFonts w:ascii="Arial" w:eastAsia="Calibri" w:hAnsi="Arial" w:cs="Arial"/>
                <w:noProof/>
                <w:w w:val="95"/>
                <w:lang w:val="hr-HR"/>
              </w:rPr>
            </w:pPr>
          </w:p>
          <w:p w:rsidR="00A562D3" w:rsidRPr="00F64AE0" w:rsidRDefault="00A562D3" w:rsidP="00A562D3">
            <w:pPr>
              <w:pStyle w:val="ListParagraph"/>
              <w:numPr>
                <w:ilvl w:val="0"/>
                <w:numId w:val="12"/>
              </w:numPr>
              <w:spacing w:after="60"/>
              <w:rPr>
                <w:rFonts w:ascii="Arial" w:eastAsia="Calibri" w:hAnsi="Arial" w:cs="Arial"/>
                <w:b/>
                <w:noProof/>
                <w:w w:val="95"/>
                <w:sz w:val="20"/>
                <w:szCs w:val="20"/>
                <w:lang w:val="hr-HR"/>
              </w:rPr>
            </w:pPr>
            <w:r w:rsidRPr="00F64AE0">
              <w:rPr>
                <w:rFonts w:ascii="Arial" w:eastAsia="Calibri" w:hAnsi="Arial" w:cs="Arial"/>
                <w:b/>
                <w:noProof/>
                <w:w w:val="95"/>
                <w:sz w:val="20"/>
                <w:szCs w:val="20"/>
                <w:lang w:val="hr-HR"/>
              </w:rPr>
              <w:t>Nedovoljna sredstva u budžetu za nesmetan rad suda</w:t>
            </w:r>
          </w:p>
        </w:tc>
      </w:tr>
      <w:tr w:rsidR="00A562D3" w:rsidRPr="009336F9" w:rsidTr="00B9322C">
        <w:trPr>
          <w:trHeight w:val="608"/>
        </w:trPr>
        <w:tc>
          <w:tcPr>
            <w:tcW w:w="411" w:type="pct"/>
            <w:vMerge w:val="restart"/>
            <w:tcBorders>
              <w:right w:val="single" w:sz="4" w:space="0" w:color="auto"/>
            </w:tcBorders>
            <w:shd w:val="clear" w:color="auto" w:fill="92D050"/>
            <w:textDirection w:val="btLr"/>
            <w:vAlign w:val="center"/>
          </w:tcPr>
          <w:p w:rsidR="00A562D3" w:rsidRPr="009336F9" w:rsidRDefault="00A562D3" w:rsidP="00B932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VANJSKI </w:t>
            </w:r>
            <w:r>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rsidR="00A562D3" w:rsidRPr="009336F9" w:rsidRDefault="00A562D3" w:rsidP="00B932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PRILIKE (OPPORTUNITIES)</w:t>
            </w:r>
          </w:p>
        </w:tc>
        <w:tc>
          <w:tcPr>
            <w:tcW w:w="2294" w:type="pct"/>
            <w:shd w:val="clear" w:color="auto" w:fill="0070C0"/>
            <w:vAlign w:val="center"/>
          </w:tcPr>
          <w:p w:rsidR="00A562D3" w:rsidRPr="009336F9" w:rsidRDefault="00A562D3" w:rsidP="00B9322C">
            <w:pPr>
              <w:spacing w:after="120"/>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PRIJETNJE (THREATS)</w:t>
            </w:r>
          </w:p>
        </w:tc>
      </w:tr>
      <w:tr w:rsidR="00A562D3" w:rsidRPr="009336F9" w:rsidTr="00B9322C">
        <w:trPr>
          <w:trHeight w:val="1773"/>
        </w:trPr>
        <w:tc>
          <w:tcPr>
            <w:tcW w:w="411" w:type="pct"/>
            <w:vMerge/>
            <w:tcBorders>
              <w:right w:val="single" w:sz="4" w:space="0" w:color="auto"/>
            </w:tcBorders>
            <w:shd w:val="clear" w:color="auto" w:fill="92D050"/>
          </w:tcPr>
          <w:p w:rsidR="00A562D3" w:rsidRPr="009336F9" w:rsidRDefault="00A562D3" w:rsidP="00A562D3">
            <w:pPr>
              <w:numPr>
                <w:ilvl w:val="0"/>
                <w:numId w:val="2"/>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rsidR="00A562D3" w:rsidRDefault="00A562D3" w:rsidP="00B9322C">
            <w:pPr>
              <w:spacing w:after="60"/>
              <w:ind w:left="0"/>
              <w:rPr>
                <w:rFonts w:ascii="Arial" w:eastAsia="Calibri" w:hAnsi="Arial" w:cs="Arial"/>
                <w:noProof/>
                <w:w w:val="95"/>
                <w:lang w:val="hr-HR"/>
              </w:rPr>
            </w:pPr>
          </w:p>
          <w:p w:rsidR="00A562D3" w:rsidRPr="00F64AE0" w:rsidRDefault="00A562D3" w:rsidP="00A562D3">
            <w:pPr>
              <w:pStyle w:val="ListParagraph"/>
              <w:numPr>
                <w:ilvl w:val="0"/>
                <w:numId w:val="13"/>
              </w:numPr>
              <w:spacing w:after="60"/>
              <w:rPr>
                <w:rFonts w:ascii="Arial" w:eastAsia="Calibri" w:hAnsi="Arial" w:cs="Arial"/>
                <w:b/>
                <w:noProof/>
                <w:w w:val="95"/>
                <w:sz w:val="20"/>
                <w:szCs w:val="20"/>
                <w:lang w:val="hr-HR"/>
              </w:rPr>
            </w:pPr>
            <w:r w:rsidRPr="00F64AE0">
              <w:rPr>
                <w:rFonts w:ascii="Arial" w:eastAsia="Calibri" w:hAnsi="Arial" w:cs="Arial"/>
                <w:b/>
                <w:noProof/>
                <w:w w:val="95"/>
                <w:sz w:val="20"/>
                <w:szCs w:val="20"/>
                <w:lang w:val="hr-HR"/>
              </w:rPr>
              <w:t>Očekivano popunjavanje dijela potrebnih kapaciteta suda sa aspekta ljudskih resursa (imenovanje redovnog sudije)</w:t>
            </w:r>
          </w:p>
        </w:tc>
        <w:tc>
          <w:tcPr>
            <w:tcW w:w="2294" w:type="pct"/>
            <w:shd w:val="clear" w:color="auto" w:fill="FFFFFF"/>
          </w:tcPr>
          <w:p w:rsidR="00A562D3" w:rsidRDefault="00A562D3" w:rsidP="00B9322C">
            <w:pPr>
              <w:pStyle w:val="ListParagraph"/>
              <w:spacing w:after="60"/>
              <w:ind w:left="360"/>
              <w:rPr>
                <w:rFonts w:ascii="Arial" w:eastAsia="Calibri" w:hAnsi="Arial" w:cs="Arial"/>
                <w:noProof/>
                <w:w w:val="95"/>
                <w:lang w:val="hr-HR"/>
              </w:rPr>
            </w:pPr>
          </w:p>
          <w:p w:rsidR="00A562D3" w:rsidRPr="00F64AE0" w:rsidRDefault="00A562D3" w:rsidP="00A562D3">
            <w:pPr>
              <w:pStyle w:val="ListParagraph"/>
              <w:numPr>
                <w:ilvl w:val="0"/>
                <w:numId w:val="14"/>
              </w:numPr>
              <w:spacing w:after="60"/>
              <w:rPr>
                <w:rFonts w:ascii="Arial" w:hAnsi="Arial" w:cs="Arial"/>
                <w:b/>
                <w:sz w:val="20"/>
                <w:szCs w:val="20"/>
                <w:lang w:val="hr-HR"/>
              </w:rPr>
            </w:pPr>
            <w:r w:rsidRPr="00F64AE0">
              <w:rPr>
                <w:rFonts w:ascii="Arial" w:hAnsi="Arial" w:cs="Arial"/>
                <w:b/>
                <w:sz w:val="20"/>
                <w:szCs w:val="20"/>
                <w:lang w:val="hr-HR"/>
              </w:rPr>
              <w:t>Dužina trajanja postupka pred drugim sudovima i organima, od čijeg okončanja zavisi i okončanje postupka pred ovim sudom</w:t>
            </w:r>
          </w:p>
          <w:p w:rsidR="00A562D3" w:rsidRPr="00125DBA" w:rsidRDefault="00A562D3" w:rsidP="00B9322C">
            <w:pPr>
              <w:spacing w:after="60"/>
              <w:ind w:left="0"/>
              <w:rPr>
                <w:rFonts w:ascii="Arial" w:eastAsia="Calibri" w:hAnsi="Arial" w:cs="Arial"/>
                <w:noProof/>
                <w:w w:val="95"/>
                <w:sz w:val="20"/>
                <w:szCs w:val="20"/>
                <w:lang w:val="hr-HR"/>
              </w:rPr>
            </w:pPr>
          </w:p>
          <w:p w:rsidR="00A562D3" w:rsidRPr="00F64AE0" w:rsidRDefault="00A562D3" w:rsidP="00A562D3">
            <w:pPr>
              <w:pStyle w:val="ListParagraph"/>
              <w:numPr>
                <w:ilvl w:val="0"/>
                <w:numId w:val="14"/>
              </w:numPr>
              <w:spacing w:after="60"/>
              <w:rPr>
                <w:rFonts w:ascii="Arial" w:eastAsia="Calibri" w:hAnsi="Arial" w:cs="Arial"/>
                <w:b/>
                <w:noProof/>
                <w:w w:val="95"/>
                <w:lang w:val="hr-HR"/>
              </w:rPr>
            </w:pPr>
            <w:r w:rsidRPr="00F64AE0">
              <w:rPr>
                <w:rFonts w:ascii="Arial" w:eastAsia="Calibri" w:hAnsi="Arial" w:cs="Arial"/>
                <w:b/>
                <w:noProof/>
                <w:w w:val="95"/>
                <w:sz w:val="20"/>
                <w:szCs w:val="20"/>
                <w:lang w:val="hr-HR"/>
              </w:rPr>
              <w:t>Nedostatak finansijskih sredstava</w:t>
            </w:r>
          </w:p>
        </w:tc>
      </w:tr>
    </w:tbl>
    <w:p w:rsidR="00A562D3" w:rsidRDefault="00A562D3" w:rsidP="00A562D3">
      <w:pPr>
        <w:jc w:val="both"/>
        <w:rPr>
          <w:lang w:val="hr-HR"/>
        </w:rPr>
      </w:pPr>
      <w:bookmarkStart w:id="22" w:name="_Toc29479786"/>
      <w:bookmarkStart w:id="23" w:name="_Toc39666948"/>
    </w:p>
    <w:p w:rsidR="00A562D3" w:rsidRDefault="00A562D3" w:rsidP="00A562D3">
      <w:pPr>
        <w:jc w:val="both"/>
        <w:rPr>
          <w:lang w:val="hr-HR"/>
        </w:rPr>
      </w:pPr>
    </w:p>
    <w:p w:rsidR="00A562D3" w:rsidRPr="00D6413F" w:rsidRDefault="00A562D3" w:rsidP="00A562D3">
      <w:pPr>
        <w:ind w:left="0"/>
        <w:jc w:val="both"/>
        <w:rPr>
          <w:rFonts w:ascii="Arial" w:hAnsi="Arial" w:cs="Arial"/>
          <w:lang w:val="hr-HR"/>
        </w:rPr>
      </w:pPr>
      <w:r w:rsidRPr="00D6413F">
        <w:rPr>
          <w:rFonts w:ascii="Arial" w:hAnsi="Arial" w:cs="Arial"/>
          <w:lang w:val="hr-HR"/>
        </w:rPr>
        <w:t xml:space="preserve">Okružni sud u Trebinju kao svoje najveće snage ističe stručne, iskusne i edukovane sudije i zaposlenike suda koji rade u uslovima sigurnog finansiranja, kako plata, tako i drugih naknada. Ovaj sud je opremljen sa savremenom opremom koja omogućava suđenje na zavidnom nivou jer posjeduje opremu koja se odnosi na audio-video snimanje. </w:t>
      </w:r>
    </w:p>
    <w:p w:rsidR="00A562D3" w:rsidRPr="00D6413F" w:rsidRDefault="00A562D3" w:rsidP="00A562D3">
      <w:pPr>
        <w:ind w:left="0"/>
        <w:jc w:val="both"/>
        <w:rPr>
          <w:rFonts w:ascii="Arial" w:hAnsi="Arial" w:cs="Arial"/>
          <w:lang w:val="hr-HR"/>
        </w:rPr>
      </w:pPr>
    </w:p>
    <w:p w:rsidR="00A562D3" w:rsidRPr="00D6413F" w:rsidRDefault="00A562D3" w:rsidP="00A562D3">
      <w:pPr>
        <w:ind w:left="0"/>
        <w:jc w:val="both"/>
        <w:rPr>
          <w:rFonts w:ascii="Arial" w:hAnsi="Arial" w:cs="Arial"/>
          <w:lang w:val="hr-HR"/>
        </w:rPr>
      </w:pPr>
      <w:r w:rsidRPr="00D6413F">
        <w:rPr>
          <w:rFonts w:ascii="Arial" w:hAnsi="Arial" w:cs="Arial"/>
          <w:lang w:val="hr-HR"/>
        </w:rPr>
        <w:t xml:space="preserve">Kao prijetnja bi se mogla navesti nedovoljna sredstva u budžetu (kada prvenstveno odobrena budžetska sredstva pokrivaju plate i naknade za zaposlenike, bez prostora za finansiranje opreme i ulaganja). </w:t>
      </w:r>
    </w:p>
    <w:p w:rsidR="00A562D3" w:rsidRPr="00D6413F" w:rsidRDefault="00A562D3" w:rsidP="00A562D3">
      <w:pPr>
        <w:ind w:left="0"/>
        <w:jc w:val="both"/>
        <w:rPr>
          <w:rFonts w:ascii="Arial" w:hAnsi="Arial" w:cs="Arial"/>
          <w:lang w:val="hr-HR"/>
        </w:rPr>
      </w:pPr>
    </w:p>
    <w:p w:rsidR="00A562D3" w:rsidRPr="0067505E" w:rsidRDefault="00A562D3" w:rsidP="00A562D3">
      <w:pPr>
        <w:ind w:left="0"/>
        <w:jc w:val="both"/>
        <w:rPr>
          <w:lang w:val="hr-HR"/>
        </w:rPr>
      </w:pPr>
      <w:r w:rsidRPr="00D6413F">
        <w:rPr>
          <w:rFonts w:ascii="Arial" w:hAnsi="Arial" w:cs="Arial"/>
          <w:lang w:val="hr-HR"/>
        </w:rPr>
        <w:t>Što se prilika tiče, očekivano je popunjavanje upražnjene redovne sudijske pozicije u ovom sudu, obzirom da jedan sudija ovog suda u maju mjesecu 2025. godine stiče uslov za penziju</w:t>
      </w:r>
      <w:r w:rsidRPr="0067505E">
        <w:rPr>
          <w:lang w:val="hr-HR"/>
        </w:rPr>
        <w:t xml:space="preserve">.  </w:t>
      </w:r>
    </w:p>
    <w:p w:rsidR="00A562D3" w:rsidRPr="00A222AE" w:rsidRDefault="00A562D3" w:rsidP="00A562D3">
      <w:pPr>
        <w:pStyle w:val="Heading1"/>
      </w:pPr>
      <w:bookmarkStart w:id="24" w:name="_Toc182901249"/>
      <w:r>
        <w:lastRenderedPageBreak/>
        <w:t>B. Pregled ciljeva</w:t>
      </w:r>
      <w:r w:rsidRPr="00A222AE">
        <w:t xml:space="preserve"> i </w:t>
      </w:r>
      <w:r>
        <w:t xml:space="preserve">godišnjih </w:t>
      </w:r>
      <w:r w:rsidRPr="00A222AE">
        <w:t>aktivnosti po strateškim</w:t>
      </w:r>
      <w:r>
        <w:t xml:space="preserve"> i trogodišnjim</w:t>
      </w:r>
      <w:r w:rsidRPr="00A222AE">
        <w:t xml:space="preserve"> ciljevima</w:t>
      </w:r>
      <w:bookmarkEnd w:id="22"/>
      <w:bookmarkEnd w:id="23"/>
      <w:bookmarkEnd w:id="24"/>
    </w:p>
    <w:p w:rsidR="00A562D3" w:rsidRDefault="00A562D3" w:rsidP="00A562D3">
      <w:pPr>
        <w:spacing w:before="40" w:line="276" w:lineRule="auto"/>
        <w:ind w:left="0"/>
        <w:jc w:val="both"/>
        <w:rPr>
          <w:rFonts w:ascii="Arial" w:hAnsi="Arial" w:cs="Arial"/>
          <w:w w:val="95"/>
          <w:sz w:val="24"/>
          <w:szCs w:val="24"/>
          <w:lang w:val="hr-HR"/>
        </w:rPr>
      </w:pPr>
    </w:p>
    <w:p w:rsidR="00A562D3" w:rsidRDefault="00A562D3" w:rsidP="00A562D3">
      <w:pPr>
        <w:spacing w:before="40" w:line="276" w:lineRule="auto"/>
        <w:ind w:left="0"/>
        <w:jc w:val="both"/>
        <w:rPr>
          <w:rFonts w:ascii="Arial" w:hAnsi="Arial" w:cs="Arial"/>
          <w:w w:val="95"/>
          <w:sz w:val="24"/>
          <w:szCs w:val="24"/>
          <w:lang w:val="hr-HR"/>
        </w:rPr>
      </w:pPr>
    </w:p>
    <w:p w:rsidR="00A562D3" w:rsidRPr="00D6413F" w:rsidRDefault="00A562D3" w:rsidP="00A562D3">
      <w:pPr>
        <w:ind w:left="0"/>
        <w:jc w:val="both"/>
        <w:rPr>
          <w:rFonts w:ascii="Arial" w:hAnsi="Arial" w:cs="Arial"/>
          <w:w w:val="95"/>
          <w:lang w:val="hr-HR"/>
        </w:rPr>
      </w:pPr>
      <w:r w:rsidRPr="00D6413F">
        <w:rPr>
          <w:rFonts w:ascii="Arial" w:hAnsi="Arial" w:cs="Arial"/>
          <w:w w:val="95"/>
          <w:lang w:val="hr-HR"/>
        </w:rPr>
        <w:t>(Tabela sadrži naziv strateških ciljeva, trogodišnjih ciljeva i aktivnosti za plansku godinu, sa rokom izvršenja i nositeljem realizacije aktivnosti)</w:t>
      </w:r>
    </w:p>
    <w:p w:rsidR="00A562D3" w:rsidRDefault="00A562D3" w:rsidP="00A562D3">
      <w:pPr>
        <w:spacing w:before="40" w:line="276" w:lineRule="auto"/>
        <w:ind w:left="0"/>
        <w:jc w:val="both"/>
        <w:rPr>
          <w:rFonts w:ascii="Arial" w:hAnsi="Arial" w:cs="Arial"/>
          <w:w w:val="95"/>
          <w:sz w:val="24"/>
          <w:szCs w:val="24"/>
          <w:lang w:val="hr-HR"/>
        </w:rPr>
      </w:pPr>
    </w:p>
    <w:p w:rsidR="00A562D3" w:rsidRPr="009701D8" w:rsidRDefault="00A562D3" w:rsidP="00A562D3">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1081"/>
        <w:gridCol w:w="2037"/>
        <w:gridCol w:w="1978"/>
        <w:gridCol w:w="994"/>
        <w:gridCol w:w="991"/>
        <w:gridCol w:w="1986"/>
      </w:tblGrid>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i/>
                <w:w w:val="95"/>
                <w:lang w:val="hr-HR"/>
              </w:rPr>
            </w:pPr>
            <w:r>
              <w:rPr>
                <w:rFonts w:ascii="Arial" w:eastAsia="Calibri" w:hAnsi="Arial" w:cs="Arial"/>
                <w:b/>
                <w:i/>
                <w:w w:val="95"/>
                <w:lang w:val="hr-HR"/>
              </w:rPr>
              <w:t>Unaprijediti efikasnost i kvalitet suda</w:t>
            </w:r>
          </w:p>
        </w:tc>
      </w:tr>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1.1.</w:t>
            </w:r>
          </w:p>
          <w:p w:rsidR="00A562D3" w:rsidRPr="009336F9" w:rsidRDefault="00A562D3" w:rsidP="00B9322C">
            <w:pPr>
              <w:spacing w:line="276" w:lineRule="auto"/>
              <w:jc w:val="both"/>
              <w:rPr>
                <w:rFonts w:ascii="Arial" w:eastAsia="Calibri" w:hAnsi="Arial" w:cs="Arial"/>
                <w:b/>
                <w:w w:val="95"/>
                <w:lang w:val="hr-HR"/>
              </w:rPr>
            </w:pPr>
          </w:p>
        </w:tc>
        <w:tc>
          <w:tcPr>
            <w:tcW w:w="6026" w:type="dxa"/>
            <w:gridSpan w:val="4"/>
            <w:shd w:val="clear" w:color="auto" w:fill="8EAADB"/>
            <w:vAlign w:val="center"/>
          </w:tcPr>
          <w:p w:rsidR="00A562D3" w:rsidRPr="007D0188" w:rsidRDefault="00A562D3" w:rsidP="00B9322C">
            <w:pPr>
              <w:spacing w:line="276" w:lineRule="auto"/>
              <w:jc w:val="center"/>
              <w:rPr>
                <w:rFonts w:ascii="Arial" w:eastAsia="Calibri" w:hAnsi="Arial" w:cs="Arial"/>
                <w:b/>
                <w:bCs/>
                <w:i/>
                <w:w w:val="95"/>
                <w:sz w:val="16"/>
                <w:szCs w:val="16"/>
                <w:lang w:val="hr-HR"/>
              </w:rPr>
            </w:pPr>
            <w:r w:rsidRPr="007D0188">
              <w:rPr>
                <w:rFonts w:ascii="Arial" w:eastAsia="Calibri" w:hAnsi="Arial" w:cs="Arial"/>
                <w:b/>
                <w:bCs/>
                <w:i/>
                <w:w w:val="95"/>
                <w:sz w:val="16"/>
                <w:szCs w:val="16"/>
                <w:lang w:val="hr-HR"/>
              </w:rPr>
              <w:t>Skraćivanje dužine trajanja postupka u drugostepenim referatima</w:t>
            </w:r>
          </w:p>
        </w:tc>
      </w:tr>
      <w:tr w:rsidR="00A562D3" w:rsidRPr="009336F9" w:rsidTr="00B9322C">
        <w:tc>
          <w:tcPr>
            <w:tcW w:w="3041" w:type="dxa"/>
            <w:gridSpan w:val="2"/>
            <w:vMerge w:val="restart"/>
            <w:shd w:val="clear" w:color="auto" w:fill="8EAADB"/>
          </w:tcPr>
          <w:p w:rsidR="00A562D3" w:rsidRPr="009336F9" w:rsidRDefault="00A562D3" w:rsidP="00B9322C">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A562D3" w:rsidRPr="009336F9" w:rsidTr="00B9322C">
        <w:tc>
          <w:tcPr>
            <w:tcW w:w="3041" w:type="dxa"/>
            <w:gridSpan w:val="2"/>
            <w:vMerge/>
            <w:shd w:val="clear" w:color="auto" w:fill="8EAADB"/>
          </w:tcPr>
          <w:p w:rsidR="00A562D3" w:rsidRPr="009336F9" w:rsidRDefault="00A562D3" w:rsidP="00B9322C">
            <w:pPr>
              <w:spacing w:line="276" w:lineRule="auto"/>
              <w:jc w:val="both"/>
              <w:rPr>
                <w:rFonts w:ascii="Arial" w:eastAsia="Calibri" w:hAnsi="Arial" w:cs="Arial"/>
                <w:w w:val="95"/>
                <w:lang w:val="hr-HR"/>
              </w:rPr>
            </w:pPr>
          </w:p>
        </w:tc>
        <w:tc>
          <w:tcPr>
            <w:tcW w:w="2008"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A562D3" w:rsidRPr="009336F9" w:rsidTr="00B9322C">
        <w:tc>
          <w:tcPr>
            <w:tcW w:w="3041" w:type="dxa"/>
            <w:gridSpan w:val="2"/>
          </w:tcPr>
          <w:p w:rsidR="00A562D3" w:rsidRDefault="00A562D3" w:rsidP="00B9322C">
            <w:pPr>
              <w:spacing w:line="276" w:lineRule="auto"/>
              <w:jc w:val="center"/>
              <w:rPr>
                <w:rFonts w:ascii="Arial" w:eastAsia="Calibri" w:hAnsi="Arial" w:cs="Arial"/>
                <w:w w:val="95"/>
                <w:sz w:val="16"/>
                <w:szCs w:val="16"/>
                <w:lang w:val="hr-HR"/>
              </w:rPr>
            </w:pPr>
            <w:r w:rsidRPr="002420C9">
              <w:rPr>
                <w:rFonts w:ascii="Arial" w:eastAsia="Calibri" w:hAnsi="Arial" w:cs="Arial"/>
                <w:w w:val="95"/>
                <w:sz w:val="16"/>
                <w:szCs w:val="16"/>
                <w:lang w:val="hr-HR"/>
              </w:rPr>
              <w:t xml:space="preserve">Prosječna </w:t>
            </w:r>
            <w:r>
              <w:rPr>
                <w:rFonts w:ascii="Arial" w:eastAsia="Calibri" w:hAnsi="Arial" w:cs="Arial"/>
                <w:w w:val="95"/>
                <w:sz w:val="16"/>
                <w:szCs w:val="16"/>
                <w:lang w:val="hr-HR"/>
              </w:rPr>
              <w:t>dužina trajanja drugostepenih parničnih predmeta u sudu smanjena za 3%</w:t>
            </w:r>
          </w:p>
          <w:p w:rsidR="00A562D3" w:rsidRPr="002420C9"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na godišnjem nivou</w:t>
            </w:r>
          </w:p>
        </w:tc>
        <w:tc>
          <w:tcPr>
            <w:tcW w:w="2008" w:type="dxa"/>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90</w:t>
            </w:r>
          </w:p>
        </w:tc>
        <w:tc>
          <w:tcPr>
            <w:tcW w:w="2009" w:type="dxa"/>
            <w:gridSpan w:val="2"/>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80</w:t>
            </w:r>
          </w:p>
        </w:tc>
        <w:tc>
          <w:tcPr>
            <w:tcW w:w="2009" w:type="dxa"/>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75</w:t>
            </w:r>
          </w:p>
        </w:tc>
      </w:tr>
      <w:tr w:rsidR="00A562D3" w:rsidRPr="009336F9" w:rsidTr="00B9322C">
        <w:tc>
          <w:tcPr>
            <w:tcW w:w="988"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A562D3" w:rsidRPr="009336F9" w:rsidTr="00B9322C">
        <w:tc>
          <w:tcPr>
            <w:tcW w:w="988" w:type="dxa"/>
            <w:vAlign w:val="center"/>
          </w:tcPr>
          <w:p w:rsidR="00A562D3" w:rsidRPr="00036D54" w:rsidRDefault="00A562D3" w:rsidP="00A562D3">
            <w:pPr>
              <w:pStyle w:val="ListParagraph"/>
              <w:numPr>
                <w:ilvl w:val="0"/>
                <w:numId w:val="3"/>
              </w:numPr>
              <w:spacing w:line="276" w:lineRule="auto"/>
              <w:rPr>
                <w:rFonts w:ascii="Arial" w:eastAsia="Calibri" w:hAnsi="Arial" w:cs="Arial"/>
                <w:w w:val="95"/>
                <w:lang w:val="hr-HR"/>
              </w:rPr>
            </w:pPr>
          </w:p>
        </w:tc>
        <w:tc>
          <w:tcPr>
            <w:tcW w:w="2053" w:type="dxa"/>
            <w:vAlign w:val="center"/>
          </w:tcPr>
          <w:p w:rsidR="00A562D3" w:rsidRPr="002420C9" w:rsidRDefault="00A562D3" w:rsidP="00B9322C">
            <w:pPr>
              <w:spacing w:line="276" w:lineRule="auto"/>
              <w:jc w:val="center"/>
              <w:rPr>
                <w:rFonts w:ascii="Arial" w:eastAsia="Calibri" w:hAnsi="Arial" w:cs="Arial"/>
                <w:w w:val="95"/>
                <w:sz w:val="16"/>
                <w:szCs w:val="16"/>
                <w:lang w:val="hr-HR"/>
              </w:rPr>
            </w:pPr>
            <w:r w:rsidRPr="002420C9">
              <w:rPr>
                <w:rFonts w:ascii="Arial" w:eastAsia="Calibri" w:hAnsi="Arial" w:cs="Arial"/>
                <w:w w:val="95"/>
                <w:sz w:val="16"/>
                <w:szCs w:val="16"/>
                <w:lang w:val="hr-HR"/>
              </w:rPr>
              <w:t>Primjena Pravilnika o vremenskim okvirima za postupanje po predmetima</w:t>
            </w:r>
          </w:p>
        </w:tc>
        <w:tc>
          <w:tcPr>
            <w:tcW w:w="3013" w:type="dxa"/>
            <w:gridSpan w:val="2"/>
            <w:vAlign w:val="center"/>
          </w:tcPr>
          <w:p w:rsidR="00A562D3" w:rsidRPr="002420C9" w:rsidRDefault="00A562D3" w:rsidP="00B9322C">
            <w:pPr>
              <w:spacing w:line="276" w:lineRule="auto"/>
              <w:jc w:val="center"/>
              <w:rPr>
                <w:rFonts w:ascii="Arial" w:eastAsia="Calibri" w:hAnsi="Arial" w:cs="Arial"/>
                <w:w w:val="95"/>
                <w:sz w:val="16"/>
                <w:szCs w:val="16"/>
                <w:lang w:val="hr-HR"/>
              </w:rPr>
            </w:pPr>
            <w:r w:rsidRPr="002420C9">
              <w:rPr>
                <w:rFonts w:ascii="Arial" w:eastAsia="Calibri" w:hAnsi="Arial" w:cs="Arial"/>
                <w:w w:val="95"/>
                <w:sz w:val="16"/>
                <w:szCs w:val="16"/>
                <w:lang w:val="hr-HR"/>
              </w:rPr>
              <w:t>I-IV</w:t>
            </w:r>
          </w:p>
        </w:tc>
        <w:tc>
          <w:tcPr>
            <w:tcW w:w="3013" w:type="dxa"/>
            <w:gridSpan w:val="2"/>
            <w:vAlign w:val="center"/>
          </w:tcPr>
          <w:p w:rsidR="00A562D3" w:rsidRPr="007D0188" w:rsidRDefault="00A562D3" w:rsidP="00B9322C">
            <w:pPr>
              <w:spacing w:line="276" w:lineRule="auto"/>
              <w:jc w:val="center"/>
              <w:rPr>
                <w:rFonts w:ascii="Arial" w:eastAsia="Calibri" w:hAnsi="Arial" w:cs="Arial"/>
                <w:w w:val="95"/>
                <w:sz w:val="16"/>
                <w:szCs w:val="16"/>
                <w:lang w:val="hr-HR"/>
              </w:rPr>
            </w:pPr>
            <w:r w:rsidRPr="007D0188">
              <w:rPr>
                <w:rFonts w:ascii="Arial" w:eastAsia="Calibri" w:hAnsi="Arial" w:cs="Arial"/>
                <w:w w:val="95"/>
                <w:sz w:val="16"/>
                <w:szCs w:val="16"/>
                <w:lang w:val="hr-HR"/>
              </w:rPr>
              <w:t>Građansko-upravno odjeljenje suda</w:t>
            </w:r>
          </w:p>
        </w:tc>
      </w:tr>
      <w:tr w:rsidR="00A562D3" w:rsidRPr="009336F9" w:rsidTr="00B9322C">
        <w:tc>
          <w:tcPr>
            <w:tcW w:w="988" w:type="dxa"/>
            <w:vAlign w:val="center"/>
          </w:tcPr>
          <w:p w:rsidR="00A562D3" w:rsidRPr="007D0188" w:rsidRDefault="00A562D3" w:rsidP="00A562D3">
            <w:pPr>
              <w:pStyle w:val="ListParagraph"/>
              <w:numPr>
                <w:ilvl w:val="0"/>
                <w:numId w:val="3"/>
              </w:numPr>
              <w:rPr>
                <w:rFonts w:ascii="Arial" w:eastAsia="Trebuchet MS" w:hAnsi="Arial" w:cs="Arial"/>
                <w:w w:val="95"/>
                <w:lang w:val="hr-HR"/>
              </w:rPr>
            </w:pPr>
          </w:p>
        </w:tc>
        <w:tc>
          <w:tcPr>
            <w:tcW w:w="2053" w:type="dxa"/>
            <w:vAlign w:val="center"/>
          </w:tcPr>
          <w:p w:rsidR="00A562D3" w:rsidRPr="007D0188" w:rsidRDefault="00A562D3" w:rsidP="00B9322C">
            <w:pPr>
              <w:spacing w:line="276" w:lineRule="auto"/>
              <w:jc w:val="center"/>
              <w:rPr>
                <w:rFonts w:ascii="Arial" w:eastAsia="Calibri" w:hAnsi="Arial" w:cs="Arial"/>
                <w:w w:val="95"/>
                <w:sz w:val="16"/>
                <w:szCs w:val="16"/>
                <w:lang w:val="hr-HR"/>
              </w:rPr>
            </w:pPr>
            <w:r w:rsidRPr="007D0188">
              <w:rPr>
                <w:rFonts w:ascii="Arial" w:eastAsia="Calibri" w:hAnsi="Arial" w:cs="Arial"/>
                <w:w w:val="95"/>
                <w:sz w:val="16"/>
                <w:szCs w:val="16"/>
                <w:lang w:val="hr-HR"/>
              </w:rPr>
              <w:t>Analiza razloga dužine trajanja drugostepenih parničnih postupaka na sjednici odjeljenja i predlaganje mjera</w:t>
            </w:r>
          </w:p>
        </w:tc>
        <w:tc>
          <w:tcPr>
            <w:tcW w:w="3013" w:type="dxa"/>
            <w:gridSpan w:val="2"/>
            <w:vAlign w:val="center"/>
          </w:tcPr>
          <w:p w:rsidR="00A562D3" w:rsidRPr="002420C9" w:rsidRDefault="00A562D3" w:rsidP="00B9322C">
            <w:pPr>
              <w:spacing w:line="276" w:lineRule="auto"/>
              <w:jc w:val="center"/>
              <w:rPr>
                <w:rFonts w:ascii="Arial" w:eastAsia="Calibri" w:hAnsi="Arial" w:cs="Arial"/>
                <w:w w:val="95"/>
                <w:sz w:val="16"/>
                <w:szCs w:val="16"/>
                <w:lang w:val="hr-HR"/>
              </w:rPr>
            </w:pPr>
            <w:r w:rsidRPr="002420C9">
              <w:rPr>
                <w:rFonts w:ascii="Arial" w:eastAsia="Calibri" w:hAnsi="Arial" w:cs="Arial"/>
                <w:w w:val="95"/>
                <w:sz w:val="16"/>
                <w:szCs w:val="16"/>
                <w:lang w:val="hr-HR"/>
              </w:rPr>
              <w:t>I-IV</w:t>
            </w:r>
          </w:p>
        </w:tc>
        <w:tc>
          <w:tcPr>
            <w:tcW w:w="3013" w:type="dxa"/>
            <w:gridSpan w:val="2"/>
            <w:vAlign w:val="center"/>
          </w:tcPr>
          <w:p w:rsidR="00A562D3" w:rsidRPr="009336F9" w:rsidRDefault="00A562D3" w:rsidP="00B9322C">
            <w:pPr>
              <w:spacing w:line="276" w:lineRule="auto"/>
              <w:jc w:val="center"/>
              <w:rPr>
                <w:rFonts w:ascii="Arial" w:eastAsia="Calibri" w:hAnsi="Arial" w:cs="Arial"/>
                <w:w w:val="95"/>
                <w:lang w:val="hr-HR"/>
              </w:rPr>
            </w:pPr>
            <w:r w:rsidRPr="007D0188">
              <w:rPr>
                <w:rFonts w:ascii="Arial" w:eastAsia="Calibri" w:hAnsi="Arial" w:cs="Arial"/>
                <w:w w:val="95"/>
                <w:sz w:val="16"/>
                <w:szCs w:val="16"/>
                <w:lang w:val="hr-HR"/>
              </w:rPr>
              <w:t>Građansko-upravno odjeljenje suda</w:t>
            </w:r>
          </w:p>
        </w:tc>
      </w:tr>
    </w:tbl>
    <w:p w:rsidR="00A562D3" w:rsidRDefault="00A562D3" w:rsidP="00A562D3">
      <w:pPr>
        <w:spacing w:before="40" w:line="276" w:lineRule="auto"/>
        <w:ind w:left="0"/>
        <w:jc w:val="both"/>
        <w:rPr>
          <w:rFonts w:ascii="Arial" w:hAnsi="Arial" w:cs="Arial"/>
          <w:w w:val="95"/>
          <w:sz w:val="28"/>
          <w:szCs w:val="24"/>
          <w:lang w:val="hr-HR"/>
        </w:rPr>
      </w:pPr>
    </w:p>
    <w:p w:rsidR="00A562D3" w:rsidRPr="00217C1D"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1081"/>
        <w:gridCol w:w="2037"/>
        <w:gridCol w:w="1978"/>
        <w:gridCol w:w="994"/>
        <w:gridCol w:w="991"/>
        <w:gridCol w:w="1986"/>
      </w:tblGrid>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i/>
                <w:w w:val="95"/>
                <w:lang w:val="hr-HR"/>
              </w:rPr>
            </w:pPr>
            <w:r>
              <w:rPr>
                <w:rFonts w:ascii="Arial" w:eastAsia="Calibri" w:hAnsi="Arial" w:cs="Arial"/>
                <w:b/>
                <w:i/>
                <w:w w:val="95"/>
                <w:lang w:val="hr-HR"/>
              </w:rPr>
              <w:t>Unaprijediti efikasnost i kvalitet suda</w:t>
            </w:r>
          </w:p>
        </w:tc>
      </w:tr>
      <w:tr w:rsidR="00A562D3" w:rsidRPr="007D0188"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w:t>
            </w:r>
            <w:r>
              <w:rPr>
                <w:rFonts w:ascii="Arial" w:eastAsia="Calibri" w:hAnsi="Arial" w:cs="Arial"/>
                <w:b/>
                <w:w w:val="95"/>
                <w:lang w:val="hr-HR"/>
              </w:rPr>
              <w:t>2</w:t>
            </w:r>
            <w:r w:rsidRPr="009336F9">
              <w:rPr>
                <w:rFonts w:ascii="Arial" w:eastAsia="Calibri" w:hAnsi="Arial" w:cs="Arial"/>
                <w:b/>
                <w:w w:val="95"/>
                <w:lang w:val="hr-HR"/>
              </w:rPr>
              <w:t>.</w:t>
            </w:r>
          </w:p>
          <w:p w:rsidR="00A562D3" w:rsidRPr="009336F9" w:rsidRDefault="00A562D3" w:rsidP="00B9322C">
            <w:pPr>
              <w:spacing w:line="276" w:lineRule="auto"/>
              <w:jc w:val="both"/>
              <w:rPr>
                <w:rFonts w:ascii="Arial" w:eastAsia="Calibri" w:hAnsi="Arial" w:cs="Arial"/>
                <w:b/>
                <w:w w:val="95"/>
                <w:lang w:val="hr-HR"/>
              </w:rPr>
            </w:pPr>
          </w:p>
        </w:tc>
        <w:tc>
          <w:tcPr>
            <w:tcW w:w="6026" w:type="dxa"/>
            <w:gridSpan w:val="4"/>
            <w:shd w:val="clear" w:color="auto" w:fill="8EAADB"/>
            <w:vAlign w:val="center"/>
          </w:tcPr>
          <w:p w:rsidR="00A562D3" w:rsidRPr="007D0188" w:rsidRDefault="00A562D3" w:rsidP="00B9322C">
            <w:pPr>
              <w:spacing w:line="276" w:lineRule="auto"/>
              <w:jc w:val="center"/>
              <w:rPr>
                <w:rFonts w:ascii="Arial" w:eastAsia="Calibri" w:hAnsi="Arial" w:cs="Arial"/>
                <w:b/>
                <w:bCs/>
                <w:i/>
                <w:w w:val="95"/>
                <w:sz w:val="16"/>
                <w:szCs w:val="16"/>
                <w:lang w:val="hr-HR"/>
              </w:rPr>
            </w:pPr>
            <w:r>
              <w:rPr>
                <w:rFonts w:ascii="Arial" w:eastAsia="Calibri" w:hAnsi="Arial" w:cs="Arial"/>
                <w:b/>
                <w:bCs/>
                <w:i/>
                <w:w w:val="95"/>
                <w:sz w:val="16"/>
                <w:szCs w:val="16"/>
                <w:lang w:val="hr-HR"/>
              </w:rPr>
              <w:t>Smanjiti broj neriješenih predmeta na upravnom referatu</w:t>
            </w:r>
          </w:p>
        </w:tc>
      </w:tr>
      <w:tr w:rsidR="00A562D3" w:rsidRPr="009336F9" w:rsidTr="00B9322C">
        <w:tc>
          <w:tcPr>
            <w:tcW w:w="3041" w:type="dxa"/>
            <w:gridSpan w:val="2"/>
            <w:vMerge w:val="restart"/>
            <w:shd w:val="clear" w:color="auto" w:fill="8EAADB"/>
          </w:tcPr>
          <w:p w:rsidR="00A562D3" w:rsidRPr="009336F9" w:rsidRDefault="00A562D3" w:rsidP="00B9322C">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A562D3" w:rsidRPr="009336F9" w:rsidTr="00B9322C">
        <w:tc>
          <w:tcPr>
            <w:tcW w:w="3041" w:type="dxa"/>
            <w:gridSpan w:val="2"/>
            <w:vMerge/>
            <w:shd w:val="clear" w:color="auto" w:fill="8EAADB"/>
          </w:tcPr>
          <w:p w:rsidR="00A562D3" w:rsidRPr="009336F9" w:rsidRDefault="00A562D3" w:rsidP="00B9322C">
            <w:pPr>
              <w:spacing w:line="276" w:lineRule="auto"/>
              <w:jc w:val="both"/>
              <w:rPr>
                <w:rFonts w:ascii="Arial" w:eastAsia="Calibri" w:hAnsi="Arial" w:cs="Arial"/>
                <w:w w:val="95"/>
                <w:lang w:val="hr-HR"/>
              </w:rPr>
            </w:pPr>
          </w:p>
        </w:tc>
        <w:tc>
          <w:tcPr>
            <w:tcW w:w="2008"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A562D3" w:rsidRPr="009336F9" w:rsidTr="00B9322C">
        <w:tc>
          <w:tcPr>
            <w:tcW w:w="3041" w:type="dxa"/>
            <w:gridSpan w:val="2"/>
          </w:tcPr>
          <w:p w:rsidR="00A562D3" w:rsidRDefault="00A562D3" w:rsidP="00B9322C">
            <w:pPr>
              <w:spacing w:line="276" w:lineRule="auto"/>
              <w:jc w:val="center"/>
              <w:rPr>
                <w:rFonts w:ascii="Arial" w:eastAsia="Calibri" w:hAnsi="Arial" w:cs="Arial"/>
                <w:w w:val="95"/>
                <w:sz w:val="16"/>
                <w:szCs w:val="16"/>
                <w:lang w:val="hr-HR"/>
              </w:rPr>
            </w:pPr>
            <w:r w:rsidRPr="00D97115">
              <w:rPr>
                <w:rFonts w:ascii="Arial" w:eastAsia="Calibri" w:hAnsi="Arial" w:cs="Arial"/>
                <w:w w:val="95"/>
                <w:sz w:val="16"/>
                <w:szCs w:val="16"/>
                <w:lang w:val="hr-HR"/>
              </w:rPr>
              <w:t>Smanjen broj nerjiješenih</w:t>
            </w:r>
            <w:r>
              <w:rPr>
                <w:rFonts w:ascii="Arial" w:eastAsia="Calibri" w:hAnsi="Arial" w:cs="Arial"/>
                <w:w w:val="95"/>
                <w:sz w:val="16"/>
                <w:szCs w:val="16"/>
                <w:lang w:val="hr-HR"/>
              </w:rPr>
              <w:t xml:space="preserve"> predmeta</w:t>
            </w:r>
          </w:p>
          <w:p w:rsidR="00A562D3" w:rsidRPr="00D97115"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na upravnom referatu</w:t>
            </w:r>
          </w:p>
        </w:tc>
        <w:tc>
          <w:tcPr>
            <w:tcW w:w="2008" w:type="dxa"/>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55</w:t>
            </w:r>
          </w:p>
        </w:tc>
        <w:tc>
          <w:tcPr>
            <w:tcW w:w="2009" w:type="dxa"/>
            <w:gridSpan w:val="2"/>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50</w:t>
            </w:r>
          </w:p>
        </w:tc>
        <w:tc>
          <w:tcPr>
            <w:tcW w:w="2009" w:type="dxa"/>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40</w:t>
            </w:r>
          </w:p>
        </w:tc>
      </w:tr>
      <w:tr w:rsidR="00A562D3" w:rsidRPr="009336F9" w:rsidTr="00B9322C">
        <w:tc>
          <w:tcPr>
            <w:tcW w:w="988"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A562D3" w:rsidRPr="007D0188" w:rsidTr="00B9322C">
        <w:tc>
          <w:tcPr>
            <w:tcW w:w="988" w:type="dxa"/>
            <w:vAlign w:val="center"/>
          </w:tcPr>
          <w:p w:rsidR="00A562D3" w:rsidRPr="00036D54" w:rsidRDefault="00A562D3" w:rsidP="00A562D3">
            <w:pPr>
              <w:pStyle w:val="ListParagraph"/>
              <w:numPr>
                <w:ilvl w:val="0"/>
                <w:numId w:val="4"/>
              </w:numPr>
              <w:spacing w:line="276" w:lineRule="auto"/>
              <w:rPr>
                <w:rFonts w:ascii="Arial" w:eastAsia="Calibri" w:hAnsi="Arial" w:cs="Arial"/>
                <w:w w:val="95"/>
                <w:lang w:val="hr-HR"/>
              </w:rPr>
            </w:pPr>
          </w:p>
        </w:tc>
        <w:tc>
          <w:tcPr>
            <w:tcW w:w="2053" w:type="dxa"/>
            <w:vAlign w:val="center"/>
          </w:tcPr>
          <w:p w:rsidR="00A562D3" w:rsidRDefault="00A562D3" w:rsidP="00B9322C">
            <w:pPr>
              <w:spacing w:line="276" w:lineRule="auto"/>
              <w:jc w:val="center"/>
              <w:rPr>
                <w:rFonts w:ascii="Arial" w:eastAsia="Calibri" w:hAnsi="Arial" w:cs="Arial"/>
                <w:w w:val="95"/>
                <w:sz w:val="16"/>
                <w:szCs w:val="16"/>
                <w:lang w:val="hr-HR"/>
              </w:rPr>
            </w:pPr>
            <w:r w:rsidRPr="00EB3B44">
              <w:rPr>
                <w:rFonts w:ascii="Arial" w:eastAsia="Calibri" w:hAnsi="Arial" w:cs="Arial"/>
                <w:w w:val="95"/>
                <w:sz w:val="16"/>
                <w:szCs w:val="16"/>
                <w:lang w:val="hr-HR"/>
              </w:rPr>
              <w:t>Analizirati mogućnos</w:t>
            </w:r>
            <w:r>
              <w:rPr>
                <w:rFonts w:ascii="Arial" w:eastAsia="Calibri" w:hAnsi="Arial" w:cs="Arial"/>
                <w:w w:val="95"/>
                <w:sz w:val="16"/>
                <w:szCs w:val="16"/>
                <w:lang w:val="hr-HR"/>
              </w:rPr>
              <w:t>t</w:t>
            </w:r>
          </w:p>
          <w:p w:rsidR="00A562D3"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presignacije predmeta u</w:t>
            </w:r>
          </w:p>
          <w:p w:rsidR="00A562D3" w:rsidRPr="00EB3B44"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slučaju većeg priliva</w:t>
            </w:r>
          </w:p>
        </w:tc>
        <w:tc>
          <w:tcPr>
            <w:tcW w:w="3013" w:type="dxa"/>
            <w:gridSpan w:val="2"/>
            <w:vAlign w:val="center"/>
          </w:tcPr>
          <w:p w:rsidR="00A562D3" w:rsidRPr="00EB3B44" w:rsidRDefault="00A562D3" w:rsidP="00B9322C">
            <w:pPr>
              <w:spacing w:line="276" w:lineRule="auto"/>
              <w:jc w:val="center"/>
              <w:rPr>
                <w:rFonts w:ascii="Arial" w:eastAsia="Calibri" w:hAnsi="Arial" w:cs="Arial"/>
                <w:w w:val="95"/>
                <w:sz w:val="16"/>
                <w:szCs w:val="16"/>
                <w:lang w:val="hr-HR"/>
              </w:rPr>
            </w:pPr>
            <w:r w:rsidRPr="00EB3B44">
              <w:rPr>
                <w:rFonts w:ascii="Arial" w:eastAsia="Calibri" w:hAnsi="Arial" w:cs="Arial"/>
                <w:w w:val="95"/>
                <w:sz w:val="16"/>
                <w:szCs w:val="16"/>
                <w:lang w:val="hr-HR"/>
              </w:rPr>
              <w:t>I-IV</w:t>
            </w:r>
          </w:p>
        </w:tc>
        <w:tc>
          <w:tcPr>
            <w:tcW w:w="3013" w:type="dxa"/>
            <w:gridSpan w:val="2"/>
            <w:vAlign w:val="center"/>
          </w:tcPr>
          <w:p w:rsidR="00A562D3" w:rsidRPr="007D0188"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 xml:space="preserve">Predsjednik </w:t>
            </w:r>
            <w:r w:rsidRPr="007D0188">
              <w:rPr>
                <w:rFonts w:ascii="Arial" w:eastAsia="Calibri" w:hAnsi="Arial" w:cs="Arial"/>
                <w:w w:val="95"/>
                <w:sz w:val="16"/>
                <w:szCs w:val="16"/>
                <w:lang w:val="hr-HR"/>
              </w:rPr>
              <w:t>suda</w:t>
            </w:r>
          </w:p>
        </w:tc>
      </w:tr>
    </w:tbl>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1081"/>
        <w:gridCol w:w="2037"/>
        <w:gridCol w:w="1978"/>
        <w:gridCol w:w="994"/>
        <w:gridCol w:w="991"/>
        <w:gridCol w:w="1986"/>
      </w:tblGrid>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i/>
                <w:w w:val="95"/>
                <w:lang w:val="hr-HR"/>
              </w:rPr>
            </w:pPr>
            <w:r>
              <w:rPr>
                <w:rFonts w:ascii="Arial" w:eastAsia="Calibri" w:hAnsi="Arial" w:cs="Arial"/>
                <w:b/>
                <w:i/>
                <w:w w:val="95"/>
                <w:lang w:val="hr-HR"/>
              </w:rPr>
              <w:t>Unaprijediti efikasnost i kvalitet suda</w:t>
            </w:r>
          </w:p>
        </w:tc>
      </w:tr>
      <w:tr w:rsidR="00A562D3" w:rsidRPr="007D0188"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w:t>
            </w:r>
            <w:r>
              <w:rPr>
                <w:rFonts w:ascii="Arial" w:eastAsia="Calibri" w:hAnsi="Arial" w:cs="Arial"/>
                <w:b/>
                <w:w w:val="95"/>
                <w:lang w:val="hr-HR"/>
              </w:rPr>
              <w:t>3</w:t>
            </w:r>
            <w:r w:rsidRPr="009336F9">
              <w:rPr>
                <w:rFonts w:ascii="Arial" w:eastAsia="Calibri" w:hAnsi="Arial" w:cs="Arial"/>
                <w:b/>
                <w:w w:val="95"/>
                <w:lang w:val="hr-HR"/>
              </w:rPr>
              <w:t>.</w:t>
            </w:r>
          </w:p>
          <w:p w:rsidR="00A562D3" w:rsidRPr="009336F9" w:rsidRDefault="00A562D3" w:rsidP="00B9322C">
            <w:pPr>
              <w:spacing w:line="276" w:lineRule="auto"/>
              <w:jc w:val="both"/>
              <w:rPr>
                <w:rFonts w:ascii="Arial" w:eastAsia="Calibri" w:hAnsi="Arial" w:cs="Arial"/>
                <w:b/>
                <w:w w:val="95"/>
                <w:lang w:val="hr-HR"/>
              </w:rPr>
            </w:pPr>
          </w:p>
        </w:tc>
        <w:tc>
          <w:tcPr>
            <w:tcW w:w="6026" w:type="dxa"/>
            <w:gridSpan w:val="4"/>
            <w:shd w:val="clear" w:color="auto" w:fill="8EAADB"/>
            <w:vAlign w:val="center"/>
          </w:tcPr>
          <w:p w:rsidR="00A562D3" w:rsidRPr="00987583" w:rsidRDefault="00A562D3" w:rsidP="00B9322C">
            <w:pPr>
              <w:spacing w:line="276" w:lineRule="auto"/>
              <w:jc w:val="center"/>
              <w:rPr>
                <w:rFonts w:ascii="Arial" w:eastAsia="Calibri" w:hAnsi="Arial" w:cs="Arial"/>
                <w:b/>
                <w:bCs/>
                <w:i/>
                <w:w w:val="95"/>
                <w:sz w:val="16"/>
                <w:szCs w:val="16"/>
                <w:lang w:val="hr-HR"/>
              </w:rPr>
            </w:pPr>
            <w:r w:rsidRPr="00987583">
              <w:rPr>
                <w:rFonts w:ascii="Arial" w:eastAsia="Calibri" w:hAnsi="Arial" w:cs="Arial"/>
                <w:b/>
                <w:bCs/>
                <w:i/>
                <w:w w:val="95"/>
                <w:sz w:val="16"/>
                <w:szCs w:val="16"/>
                <w:lang w:val="hr-HR"/>
              </w:rPr>
              <w:t>Smanjiti broj neriješenih predmeta ratnog zločina</w:t>
            </w:r>
          </w:p>
        </w:tc>
      </w:tr>
      <w:tr w:rsidR="00A562D3" w:rsidRPr="009336F9" w:rsidTr="00B9322C">
        <w:tc>
          <w:tcPr>
            <w:tcW w:w="3041" w:type="dxa"/>
            <w:gridSpan w:val="2"/>
            <w:vMerge w:val="restart"/>
            <w:shd w:val="clear" w:color="auto" w:fill="8EAADB"/>
          </w:tcPr>
          <w:p w:rsidR="00A562D3" w:rsidRPr="009336F9" w:rsidRDefault="00A562D3" w:rsidP="00B9322C">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A562D3" w:rsidRPr="009336F9" w:rsidTr="00B9322C">
        <w:tc>
          <w:tcPr>
            <w:tcW w:w="3041" w:type="dxa"/>
            <w:gridSpan w:val="2"/>
            <w:vMerge/>
            <w:shd w:val="clear" w:color="auto" w:fill="8EAADB"/>
          </w:tcPr>
          <w:p w:rsidR="00A562D3" w:rsidRPr="009336F9" w:rsidRDefault="00A562D3" w:rsidP="00B9322C">
            <w:pPr>
              <w:spacing w:line="276" w:lineRule="auto"/>
              <w:jc w:val="both"/>
              <w:rPr>
                <w:rFonts w:ascii="Arial" w:eastAsia="Calibri" w:hAnsi="Arial" w:cs="Arial"/>
                <w:w w:val="95"/>
                <w:lang w:val="hr-HR"/>
              </w:rPr>
            </w:pPr>
          </w:p>
        </w:tc>
        <w:tc>
          <w:tcPr>
            <w:tcW w:w="2008"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A562D3" w:rsidRPr="009336F9" w:rsidTr="00B9322C">
        <w:tc>
          <w:tcPr>
            <w:tcW w:w="3041" w:type="dxa"/>
            <w:gridSpan w:val="2"/>
          </w:tcPr>
          <w:p w:rsidR="00A562D3" w:rsidRPr="00EB3B44"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Broj neriješenih predmeta ratnog zločina</w:t>
            </w:r>
          </w:p>
        </w:tc>
        <w:tc>
          <w:tcPr>
            <w:tcW w:w="2008" w:type="dxa"/>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4</w:t>
            </w:r>
          </w:p>
        </w:tc>
        <w:tc>
          <w:tcPr>
            <w:tcW w:w="2009" w:type="dxa"/>
            <w:gridSpan w:val="2"/>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2</w:t>
            </w:r>
          </w:p>
        </w:tc>
        <w:tc>
          <w:tcPr>
            <w:tcW w:w="2009" w:type="dxa"/>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lang w:val="hr-HR"/>
              </w:rPr>
              <w:t>1</w:t>
            </w:r>
          </w:p>
        </w:tc>
      </w:tr>
      <w:tr w:rsidR="00A562D3" w:rsidRPr="009336F9" w:rsidTr="00B9322C">
        <w:tc>
          <w:tcPr>
            <w:tcW w:w="988"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A562D3" w:rsidRPr="007D0188" w:rsidTr="00B9322C">
        <w:tc>
          <w:tcPr>
            <w:tcW w:w="988" w:type="dxa"/>
            <w:vAlign w:val="center"/>
          </w:tcPr>
          <w:p w:rsidR="00A562D3" w:rsidRPr="00F44A2A" w:rsidRDefault="00A562D3" w:rsidP="00B9322C">
            <w:pPr>
              <w:spacing w:line="276" w:lineRule="auto"/>
              <w:ind w:left="360"/>
              <w:rPr>
                <w:rFonts w:ascii="Arial" w:eastAsia="Calibri" w:hAnsi="Arial" w:cs="Arial"/>
                <w:w w:val="95"/>
                <w:lang w:val="hr-HR"/>
              </w:rPr>
            </w:pPr>
            <w:r>
              <w:rPr>
                <w:rFonts w:ascii="Arial" w:eastAsia="Calibri" w:hAnsi="Arial" w:cs="Arial"/>
                <w:w w:val="95"/>
                <w:lang w:val="hr-HR"/>
              </w:rPr>
              <w:t>1.</w:t>
            </w:r>
          </w:p>
        </w:tc>
        <w:tc>
          <w:tcPr>
            <w:tcW w:w="2053" w:type="dxa"/>
            <w:vAlign w:val="center"/>
          </w:tcPr>
          <w:p w:rsidR="00A562D3" w:rsidRPr="00EB3B44" w:rsidRDefault="00A562D3" w:rsidP="00B9322C">
            <w:pPr>
              <w:spacing w:line="276" w:lineRule="auto"/>
              <w:jc w:val="center"/>
              <w:rPr>
                <w:rFonts w:ascii="Arial" w:eastAsia="Calibri" w:hAnsi="Arial" w:cs="Arial"/>
                <w:w w:val="95"/>
                <w:sz w:val="16"/>
                <w:szCs w:val="16"/>
                <w:lang w:val="hr-HR"/>
              </w:rPr>
            </w:pPr>
            <w:r w:rsidRPr="00EB3B44">
              <w:rPr>
                <w:rFonts w:ascii="Arial" w:eastAsia="Calibri" w:hAnsi="Arial" w:cs="Arial"/>
                <w:w w:val="95"/>
                <w:sz w:val="16"/>
                <w:szCs w:val="16"/>
                <w:lang w:val="hr-HR"/>
              </w:rPr>
              <w:t>Analiza dužine trajanja neriješenih predmeta ratnog zločina</w:t>
            </w:r>
          </w:p>
        </w:tc>
        <w:tc>
          <w:tcPr>
            <w:tcW w:w="3013" w:type="dxa"/>
            <w:gridSpan w:val="2"/>
            <w:vAlign w:val="center"/>
          </w:tcPr>
          <w:p w:rsidR="00A562D3" w:rsidRPr="00EB3B44" w:rsidRDefault="00A562D3" w:rsidP="00B9322C">
            <w:pPr>
              <w:spacing w:line="276" w:lineRule="auto"/>
              <w:jc w:val="center"/>
              <w:rPr>
                <w:rFonts w:ascii="Arial" w:eastAsia="Calibri" w:hAnsi="Arial" w:cs="Arial"/>
                <w:w w:val="95"/>
                <w:sz w:val="16"/>
                <w:szCs w:val="16"/>
                <w:lang w:val="hr-HR"/>
              </w:rPr>
            </w:pPr>
            <w:r w:rsidRPr="00EB3B44">
              <w:rPr>
                <w:rFonts w:ascii="Arial" w:eastAsia="Calibri" w:hAnsi="Arial" w:cs="Arial"/>
                <w:w w:val="95"/>
                <w:sz w:val="16"/>
                <w:szCs w:val="16"/>
                <w:lang w:val="hr-HR"/>
              </w:rPr>
              <w:t>I-IV</w:t>
            </w:r>
          </w:p>
        </w:tc>
        <w:tc>
          <w:tcPr>
            <w:tcW w:w="3013" w:type="dxa"/>
            <w:gridSpan w:val="2"/>
            <w:vAlign w:val="center"/>
          </w:tcPr>
          <w:p w:rsidR="00A562D3" w:rsidRPr="007D0188"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Krivično-prekršajno</w:t>
            </w:r>
            <w:r w:rsidRPr="007D0188">
              <w:rPr>
                <w:rFonts w:ascii="Arial" w:eastAsia="Calibri" w:hAnsi="Arial" w:cs="Arial"/>
                <w:w w:val="95"/>
                <w:sz w:val="16"/>
                <w:szCs w:val="16"/>
                <w:lang w:val="hr-HR"/>
              </w:rPr>
              <w:t xml:space="preserve"> odjeljenje suda</w:t>
            </w:r>
          </w:p>
        </w:tc>
      </w:tr>
      <w:tr w:rsidR="00A562D3" w:rsidRPr="009336F9" w:rsidTr="00B9322C">
        <w:tc>
          <w:tcPr>
            <w:tcW w:w="988" w:type="dxa"/>
            <w:vAlign w:val="center"/>
          </w:tcPr>
          <w:p w:rsidR="00A562D3" w:rsidRPr="008E7AF0" w:rsidRDefault="00A562D3" w:rsidP="00A562D3">
            <w:pPr>
              <w:pStyle w:val="ListParagraph"/>
              <w:numPr>
                <w:ilvl w:val="0"/>
                <w:numId w:val="4"/>
              </w:numPr>
              <w:rPr>
                <w:rFonts w:ascii="Arial" w:eastAsia="Trebuchet MS" w:hAnsi="Arial" w:cs="Arial"/>
                <w:w w:val="95"/>
                <w:lang w:val="hr-HR"/>
              </w:rPr>
            </w:pPr>
          </w:p>
        </w:tc>
        <w:tc>
          <w:tcPr>
            <w:tcW w:w="2053" w:type="dxa"/>
            <w:vAlign w:val="center"/>
          </w:tcPr>
          <w:p w:rsidR="00A562D3" w:rsidRPr="007D0188" w:rsidRDefault="00A562D3" w:rsidP="00B9322C">
            <w:pPr>
              <w:spacing w:line="276" w:lineRule="auto"/>
              <w:rPr>
                <w:rFonts w:ascii="Arial" w:eastAsia="Calibri" w:hAnsi="Arial" w:cs="Arial"/>
                <w:w w:val="95"/>
                <w:sz w:val="16"/>
                <w:szCs w:val="16"/>
                <w:lang w:val="hr-HR"/>
              </w:rPr>
            </w:pPr>
            <w:r>
              <w:rPr>
                <w:rFonts w:ascii="Arial" w:eastAsia="Calibri" w:hAnsi="Arial" w:cs="Arial"/>
                <w:w w:val="95"/>
                <w:sz w:val="16"/>
                <w:szCs w:val="16"/>
                <w:lang w:val="hr-HR"/>
              </w:rPr>
              <w:t>Održavanje sastanaka i razmatranje aktuelnih pitanja u predmetima ratnih zločina u okviru projekta „Unapređenje rada na predmetima ratnih zločina BiH“</w:t>
            </w:r>
          </w:p>
        </w:tc>
        <w:tc>
          <w:tcPr>
            <w:tcW w:w="3013" w:type="dxa"/>
            <w:gridSpan w:val="2"/>
            <w:vAlign w:val="center"/>
          </w:tcPr>
          <w:p w:rsidR="00A562D3" w:rsidRPr="00EB3B44" w:rsidRDefault="00A562D3" w:rsidP="00B9322C">
            <w:pPr>
              <w:spacing w:line="276" w:lineRule="auto"/>
              <w:jc w:val="center"/>
              <w:rPr>
                <w:rFonts w:ascii="Arial" w:eastAsia="Calibri" w:hAnsi="Arial" w:cs="Arial"/>
                <w:w w:val="95"/>
                <w:sz w:val="16"/>
                <w:szCs w:val="16"/>
                <w:lang w:val="hr-HR"/>
              </w:rPr>
            </w:pPr>
            <w:r w:rsidRPr="00EB3B44">
              <w:rPr>
                <w:rFonts w:ascii="Arial" w:eastAsia="Calibri" w:hAnsi="Arial" w:cs="Arial"/>
                <w:w w:val="95"/>
                <w:sz w:val="16"/>
                <w:szCs w:val="16"/>
                <w:lang w:val="hr-HR"/>
              </w:rPr>
              <w:t>I-IV</w:t>
            </w:r>
          </w:p>
        </w:tc>
        <w:tc>
          <w:tcPr>
            <w:tcW w:w="3013" w:type="dxa"/>
            <w:gridSpan w:val="2"/>
            <w:vAlign w:val="center"/>
          </w:tcPr>
          <w:p w:rsidR="00A562D3" w:rsidRPr="009336F9" w:rsidRDefault="00A562D3" w:rsidP="00B9322C">
            <w:pPr>
              <w:spacing w:line="276" w:lineRule="auto"/>
              <w:jc w:val="center"/>
              <w:rPr>
                <w:rFonts w:ascii="Arial" w:eastAsia="Calibri" w:hAnsi="Arial" w:cs="Arial"/>
                <w:w w:val="95"/>
                <w:lang w:val="hr-HR"/>
              </w:rPr>
            </w:pPr>
            <w:r>
              <w:rPr>
                <w:rFonts w:ascii="Arial" w:eastAsia="Calibri" w:hAnsi="Arial" w:cs="Arial"/>
                <w:w w:val="95"/>
                <w:sz w:val="16"/>
                <w:szCs w:val="16"/>
                <w:lang w:val="hr-HR"/>
              </w:rPr>
              <w:t>Krivično-prekršajno</w:t>
            </w:r>
            <w:r w:rsidRPr="007D0188">
              <w:rPr>
                <w:rFonts w:ascii="Arial" w:eastAsia="Calibri" w:hAnsi="Arial" w:cs="Arial"/>
                <w:w w:val="95"/>
                <w:sz w:val="16"/>
                <w:szCs w:val="16"/>
                <w:lang w:val="hr-HR"/>
              </w:rPr>
              <w:t xml:space="preserve"> odjeljenje suda</w:t>
            </w:r>
          </w:p>
        </w:tc>
      </w:tr>
    </w:tbl>
    <w:p w:rsidR="00A562D3" w:rsidRDefault="00A562D3" w:rsidP="00A562D3">
      <w:pPr>
        <w:spacing w:before="40" w:line="276" w:lineRule="auto"/>
        <w:ind w:left="0"/>
        <w:jc w:val="both"/>
        <w:rPr>
          <w:rFonts w:ascii="Arial" w:hAnsi="Arial" w:cs="Arial"/>
          <w:w w:val="95"/>
          <w:sz w:val="28"/>
          <w:szCs w:val="24"/>
          <w:lang w:val="hr-HR"/>
        </w:rPr>
      </w:pPr>
    </w:p>
    <w:p w:rsidR="00A562D3" w:rsidRPr="00FC1980" w:rsidRDefault="00A562D3" w:rsidP="00A562D3">
      <w:pPr>
        <w:spacing w:before="40" w:line="276" w:lineRule="auto"/>
        <w:ind w:left="0"/>
        <w:jc w:val="both"/>
        <w:rPr>
          <w:rFonts w:ascii="Arial" w:hAnsi="Arial" w:cs="Arial"/>
          <w:w w:val="95"/>
          <w:sz w:val="28"/>
          <w:szCs w:val="24"/>
          <w:lang w:val="hr-HR"/>
        </w:rPr>
      </w:pPr>
    </w:p>
    <w:p w:rsidR="00A562D3" w:rsidRPr="00FC1980" w:rsidRDefault="00A562D3" w:rsidP="00A562D3">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1081"/>
        <w:gridCol w:w="2037"/>
        <w:gridCol w:w="1978"/>
        <w:gridCol w:w="994"/>
        <w:gridCol w:w="991"/>
        <w:gridCol w:w="1986"/>
      </w:tblGrid>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bookmarkStart w:id="25" w:name="_Hlk182552302"/>
            <w:r w:rsidRPr="009336F9">
              <w:rPr>
                <w:rFonts w:ascii="Arial" w:eastAsia="Calibri" w:hAnsi="Arial" w:cs="Arial"/>
                <w:b/>
                <w:w w:val="95"/>
                <w:lang w:val="hr-HR"/>
              </w:rPr>
              <w:t>Strateški cilj 2</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i/>
                <w:w w:val="95"/>
                <w:lang w:val="hr-HR"/>
              </w:rPr>
            </w:pPr>
            <w:r>
              <w:rPr>
                <w:rFonts w:ascii="Arial" w:eastAsia="Calibri" w:hAnsi="Arial" w:cs="Arial"/>
                <w:b/>
                <w:i/>
                <w:w w:val="95"/>
                <w:lang w:val="hr-HR"/>
              </w:rPr>
              <w:t>Unaprijediti dostupnost informacija o radu suda stručnoj i široj javnosti</w:t>
            </w:r>
          </w:p>
        </w:tc>
      </w:tr>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2.1.</w:t>
            </w:r>
          </w:p>
          <w:p w:rsidR="00A562D3" w:rsidRPr="009336F9" w:rsidRDefault="00A562D3" w:rsidP="00B9322C">
            <w:pPr>
              <w:spacing w:line="276" w:lineRule="auto"/>
              <w:jc w:val="both"/>
              <w:rPr>
                <w:rFonts w:ascii="Arial" w:eastAsia="Calibri" w:hAnsi="Arial" w:cs="Arial"/>
                <w:b/>
                <w:w w:val="95"/>
                <w:lang w:val="hr-HR"/>
              </w:rPr>
            </w:pPr>
          </w:p>
        </w:tc>
        <w:tc>
          <w:tcPr>
            <w:tcW w:w="6026" w:type="dxa"/>
            <w:gridSpan w:val="4"/>
            <w:shd w:val="clear" w:color="auto" w:fill="8EAADB"/>
            <w:vAlign w:val="center"/>
          </w:tcPr>
          <w:p w:rsidR="00A562D3" w:rsidRPr="00987583" w:rsidRDefault="00A562D3" w:rsidP="00B9322C">
            <w:pPr>
              <w:spacing w:line="276" w:lineRule="auto"/>
              <w:jc w:val="center"/>
              <w:rPr>
                <w:rFonts w:ascii="Arial" w:eastAsia="Calibri" w:hAnsi="Arial" w:cs="Arial"/>
                <w:b/>
                <w:bCs/>
                <w:i/>
                <w:w w:val="95"/>
                <w:sz w:val="16"/>
                <w:szCs w:val="16"/>
                <w:lang w:val="hr-HR"/>
              </w:rPr>
            </w:pPr>
            <w:r w:rsidRPr="00987583">
              <w:rPr>
                <w:rFonts w:ascii="Arial" w:eastAsia="Calibri" w:hAnsi="Arial" w:cs="Arial"/>
                <w:b/>
                <w:bCs/>
                <w:i/>
                <w:w w:val="95"/>
                <w:sz w:val="16"/>
                <w:szCs w:val="16"/>
                <w:lang w:val="hr-HR"/>
              </w:rPr>
              <w:t>Uspostaviti redovnu praksu informisanja javnosti o ulozi i radu Okružnog suda u Trebinju</w:t>
            </w:r>
          </w:p>
        </w:tc>
      </w:tr>
      <w:tr w:rsidR="00A562D3" w:rsidRPr="009336F9" w:rsidTr="00B9322C">
        <w:tc>
          <w:tcPr>
            <w:tcW w:w="3041" w:type="dxa"/>
            <w:gridSpan w:val="2"/>
            <w:vMerge w:val="restart"/>
            <w:shd w:val="clear" w:color="auto" w:fill="8EAADB"/>
          </w:tcPr>
          <w:p w:rsidR="00A562D3" w:rsidRPr="009336F9" w:rsidRDefault="00A562D3" w:rsidP="00B9322C">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A562D3" w:rsidRPr="009336F9" w:rsidTr="00B9322C">
        <w:tc>
          <w:tcPr>
            <w:tcW w:w="3041" w:type="dxa"/>
            <w:gridSpan w:val="2"/>
            <w:vMerge/>
            <w:shd w:val="clear" w:color="auto" w:fill="8EAADB"/>
          </w:tcPr>
          <w:p w:rsidR="00A562D3" w:rsidRPr="009336F9" w:rsidRDefault="00A562D3" w:rsidP="00B9322C">
            <w:pPr>
              <w:spacing w:line="276" w:lineRule="auto"/>
              <w:jc w:val="both"/>
              <w:rPr>
                <w:rFonts w:ascii="Arial" w:eastAsia="Calibri" w:hAnsi="Arial" w:cs="Arial"/>
                <w:w w:val="95"/>
                <w:lang w:val="hr-HR"/>
              </w:rPr>
            </w:pPr>
          </w:p>
        </w:tc>
        <w:tc>
          <w:tcPr>
            <w:tcW w:w="2008"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A562D3" w:rsidRPr="009336F9" w:rsidTr="00B9322C">
        <w:tc>
          <w:tcPr>
            <w:tcW w:w="3041" w:type="dxa"/>
            <w:gridSpan w:val="2"/>
          </w:tcPr>
          <w:p w:rsidR="00A562D3" w:rsidRDefault="00A562D3" w:rsidP="00B9322C">
            <w:pPr>
              <w:spacing w:line="276" w:lineRule="auto"/>
              <w:jc w:val="center"/>
              <w:rPr>
                <w:rFonts w:ascii="Arial" w:eastAsia="Calibri" w:hAnsi="Arial" w:cs="Arial"/>
                <w:w w:val="95"/>
                <w:sz w:val="16"/>
                <w:szCs w:val="16"/>
                <w:lang w:val="hr-HR"/>
              </w:rPr>
            </w:pPr>
          </w:p>
          <w:p w:rsidR="00A562D3"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 xml:space="preserve">Broj </w:t>
            </w:r>
            <w:r>
              <w:rPr>
                <w:rFonts w:ascii="Arial" w:eastAsia="Calibri" w:hAnsi="Arial" w:cs="Arial"/>
                <w:w w:val="95"/>
                <w:sz w:val="16"/>
                <w:szCs w:val="16"/>
                <w:lang w:val="hr-HR"/>
              </w:rPr>
              <w:t>saopštenja za javnost</w:t>
            </w:r>
          </w:p>
          <w:p w:rsidR="00A562D3" w:rsidRPr="00F44A2A" w:rsidRDefault="00A562D3" w:rsidP="00B9322C">
            <w:pPr>
              <w:spacing w:line="276" w:lineRule="auto"/>
              <w:jc w:val="center"/>
              <w:rPr>
                <w:rFonts w:ascii="Arial" w:eastAsia="Calibri" w:hAnsi="Arial" w:cs="Arial"/>
                <w:w w:val="95"/>
                <w:sz w:val="16"/>
                <w:szCs w:val="16"/>
                <w:lang w:val="hr-HR"/>
              </w:rPr>
            </w:pPr>
          </w:p>
        </w:tc>
        <w:tc>
          <w:tcPr>
            <w:tcW w:w="2008" w:type="dxa"/>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c>
          <w:tcPr>
            <w:tcW w:w="2009" w:type="dxa"/>
            <w:gridSpan w:val="2"/>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c>
          <w:tcPr>
            <w:tcW w:w="2009" w:type="dxa"/>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r>
      <w:tr w:rsidR="00A562D3" w:rsidRPr="009336F9" w:rsidTr="00B9322C">
        <w:tc>
          <w:tcPr>
            <w:tcW w:w="988"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A562D3" w:rsidRPr="009336F9" w:rsidTr="00B9322C">
        <w:tc>
          <w:tcPr>
            <w:tcW w:w="988" w:type="dxa"/>
            <w:vAlign w:val="center"/>
          </w:tcPr>
          <w:p w:rsidR="00A562D3" w:rsidRPr="002F6522" w:rsidRDefault="00A562D3" w:rsidP="00A562D3">
            <w:pPr>
              <w:pStyle w:val="ListParagraph"/>
              <w:numPr>
                <w:ilvl w:val="0"/>
                <w:numId w:val="5"/>
              </w:numPr>
              <w:spacing w:line="276" w:lineRule="auto"/>
              <w:rPr>
                <w:rFonts w:ascii="Arial" w:eastAsia="Calibri" w:hAnsi="Arial" w:cs="Arial"/>
                <w:w w:val="95"/>
                <w:lang w:val="hr-HR"/>
              </w:rPr>
            </w:pPr>
          </w:p>
        </w:tc>
        <w:tc>
          <w:tcPr>
            <w:tcW w:w="2053" w:type="dxa"/>
            <w:vAlign w:val="center"/>
          </w:tcPr>
          <w:p w:rsidR="00A562D3" w:rsidRPr="002F6522" w:rsidRDefault="00A562D3" w:rsidP="00B9322C">
            <w:pPr>
              <w:spacing w:line="276" w:lineRule="auto"/>
              <w:jc w:val="center"/>
              <w:rPr>
                <w:rFonts w:ascii="Arial" w:eastAsia="Calibri" w:hAnsi="Arial" w:cs="Arial"/>
                <w:w w:val="95"/>
                <w:sz w:val="16"/>
                <w:szCs w:val="16"/>
                <w:lang w:val="hr-HR"/>
              </w:rPr>
            </w:pPr>
            <w:r w:rsidRPr="002F6522">
              <w:rPr>
                <w:rFonts w:ascii="Arial" w:eastAsia="Calibri" w:hAnsi="Arial" w:cs="Arial"/>
                <w:w w:val="95"/>
                <w:sz w:val="16"/>
                <w:szCs w:val="16"/>
                <w:lang w:val="hr-HR"/>
              </w:rPr>
              <w:t>Redovno objavljivanje</w:t>
            </w:r>
            <w:r>
              <w:rPr>
                <w:rFonts w:ascii="Arial" w:eastAsia="Calibri" w:hAnsi="Arial" w:cs="Arial"/>
                <w:w w:val="95"/>
                <w:sz w:val="16"/>
                <w:szCs w:val="16"/>
                <w:lang w:val="hr-HR"/>
              </w:rPr>
              <w:t xml:space="preserve"> saopštenja za javnost</w:t>
            </w:r>
          </w:p>
        </w:tc>
        <w:tc>
          <w:tcPr>
            <w:tcW w:w="3013" w:type="dxa"/>
            <w:gridSpan w:val="2"/>
            <w:vAlign w:val="center"/>
          </w:tcPr>
          <w:p w:rsidR="00A562D3" w:rsidRPr="002F6522" w:rsidRDefault="00A562D3" w:rsidP="00B9322C">
            <w:pPr>
              <w:spacing w:line="276" w:lineRule="auto"/>
              <w:jc w:val="center"/>
              <w:rPr>
                <w:rFonts w:ascii="Arial" w:eastAsia="Calibri" w:hAnsi="Arial" w:cs="Arial"/>
                <w:w w:val="95"/>
                <w:sz w:val="16"/>
                <w:szCs w:val="16"/>
                <w:lang w:val="hr-HR"/>
              </w:rPr>
            </w:pPr>
            <w:r w:rsidRPr="002F6522">
              <w:rPr>
                <w:rFonts w:ascii="Arial" w:eastAsia="Calibri" w:hAnsi="Arial" w:cs="Arial"/>
                <w:w w:val="95"/>
                <w:sz w:val="16"/>
                <w:szCs w:val="16"/>
                <w:lang w:val="hr-HR"/>
              </w:rPr>
              <w:t>I-IV</w:t>
            </w:r>
          </w:p>
        </w:tc>
        <w:tc>
          <w:tcPr>
            <w:tcW w:w="3013" w:type="dxa"/>
            <w:gridSpan w:val="2"/>
            <w:vAlign w:val="center"/>
          </w:tcPr>
          <w:p w:rsidR="00A562D3" w:rsidRPr="002F6522" w:rsidRDefault="00A562D3" w:rsidP="00B9322C">
            <w:pPr>
              <w:spacing w:line="276" w:lineRule="auto"/>
              <w:jc w:val="center"/>
              <w:rPr>
                <w:rFonts w:ascii="Arial" w:eastAsia="Calibri" w:hAnsi="Arial" w:cs="Arial"/>
                <w:b/>
                <w:w w:val="95"/>
                <w:sz w:val="16"/>
                <w:szCs w:val="16"/>
                <w:lang w:val="hr-HR"/>
              </w:rPr>
            </w:pPr>
            <w:r w:rsidRPr="002F6522">
              <w:rPr>
                <w:rFonts w:ascii="Arial" w:eastAsia="Calibri" w:hAnsi="Arial" w:cs="Arial"/>
                <w:b/>
                <w:w w:val="95"/>
                <w:sz w:val="16"/>
                <w:szCs w:val="16"/>
                <w:lang w:val="hr-HR"/>
              </w:rPr>
              <w:t>Sekretar suda i IKT službenik</w:t>
            </w:r>
          </w:p>
        </w:tc>
      </w:tr>
      <w:bookmarkEnd w:id="25"/>
    </w:tbl>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Pr="00FC1980" w:rsidRDefault="00A562D3" w:rsidP="00A562D3">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1081"/>
        <w:gridCol w:w="2037"/>
        <w:gridCol w:w="1978"/>
        <w:gridCol w:w="994"/>
        <w:gridCol w:w="991"/>
        <w:gridCol w:w="1986"/>
      </w:tblGrid>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lastRenderedPageBreak/>
              <w:t>Strateški cilj 2</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i/>
                <w:w w:val="95"/>
                <w:lang w:val="hr-HR"/>
              </w:rPr>
            </w:pPr>
            <w:r>
              <w:rPr>
                <w:rFonts w:ascii="Arial" w:eastAsia="Calibri" w:hAnsi="Arial" w:cs="Arial"/>
                <w:b/>
                <w:i/>
                <w:w w:val="95"/>
                <w:lang w:val="hr-HR"/>
              </w:rPr>
              <w:t>Unaprijediti dostupnost informacija o radu suda stručnoj i široj javnosti</w:t>
            </w:r>
          </w:p>
        </w:tc>
      </w:tr>
      <w:tr w:rsidR="00A562D3" w:rsidRPr="00987583"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w:t>
            </w:r>
            <w:r>
              <w:rPr>
                <w:rFonts w:ascii="Arial" w:eastAsia="Calibri" w:hAnsi="Arial" w:cs="Arial"/>
                <w:b/>
                <w:w w:val="95"/>
                <w:lang w:val="hr-HR"/>
              </w:rPr>
              <w:t>2</w:t>
            </w:r>
            <w:r w:rsidRPr="009336F9">
              <w:rPr>
                <w:rFonts w:ascii="Arial" w:eastAsia="Calibri" w:hAnsi="Arial" w:cs="Arial"/>
                <w:b/>
                <w:w w:val="95"/>
                <w:lang w:val="hr-HR"/>
              </w:rPr>
              <w:t>.</w:t>
            </w:r>
          </w:p>
          <w:p w:rsidR="00A562D3" w:rsidRPr="009336F9" w:rsidRDefault="00A562D3" w:rsidP="00B9322C">
            <w:pPr>
              <w:spacing w:line="276" w:lineRule="auto"/>
              <w:jc w:val="both"/>
              <w:rPr>
                <w:rFonts w:ascii="Arial" w:eastAsia="Calibri" w:hAnsi="Arial" w:cs="Arial"/>
                <w:b/>
                <w:w w:val="95"/>
                <w:lang w:val="hr-HR"/>
              </w:rPr>
            </w:pPr>
          </w:p>
        </w:tc>
        <w:tc>
          <w:tcPr>
            <w:tcW w:w="6026" w:type="dxa"/>
            <w:gridSpan w:val="4"/>
            <w:shd w:val="clear" w:color="auto" w:fill="8EAADB"/>
            <w:vAlign w:val="center"/>
          </w:tcPr>
          <w:p w:rsidR="00A562D3" w:rsidRPr="00987583" w:rsidRDefault="00A562D3" w:rsidP="00B9322C">
            <w:pPr>
              <w:spacing w:line="276" w:lineRule="auto"/>
              <w:jc w:val="center"/>
              <w:rPr>
                <w:rFonts w:ascii="Arial" w:eastAsia="Calibri" w:hAnsi="Arial" w:cs="Arial"/>
                <w:b/>
                <w:bCs/>
                <w:i/>
                <w:w w:val="95"/>
                <w:sz w:val="16"/>
                <w:szCs w:val="16"/>
                <w:lang w:val="hr-HR"/>
              </w:rPr>
            </w:pPr>
            <w:r>
              <w:rPr>
                <w:rFonts w:ascii="Arial" w:eastAsia="Calibri" w:hAnsi="Arial" w:cs="Arial"/>
                <w:b/>
                <w:bCs/>
                <w:i/>
                <w:w w:val="95"/>
                <w:sz w:val="16"/>
                <w:szCs w:val="16"/>
                <w:lang w:val="hr-HR"/>
              </w:rPr>
              <w:t>Redovno objavljivati statističke podatke o rezultatima rada suda na Web stranici suda</w:t>
            </w:r>
          </w:p>
        </w:tc>
      </w:tr>
      <w:tr w:rsidR="00A562D3" w:rsidRPr="009336F9" w:rsidTr="00B9322C">
        <w:tc>
          <w:tcPr>
            <w:tcW w:w="3041" w:type="dxa"/>
            <w:gridSpan w:val="2"/>
            <w:vMerge w:val="restart"/>
            <w:shd w:val="clear" w:color="auto" w:fill="8EAADB"/>
          </w:tcPr>
          <w:p w:rsidR="00A562D3" w:rsidRPr="009336F9" w:rsidRDefault="00A562D3" w:rsidP="00B9322C">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A562D3" w:rsidRPr="009336F9" w:rsidTr="00B9322C">
        <w:tc>
          <w:tcPr>
            <w:tcW w:w="3041" w:type="dxa"/>
            <w:gridSpan w:val="2"/>
            <w:vMerge/>
            <w:shd w:val="clear" w:color="auto" w:fill="8EAADB"/>
          </w:tcPr>
          <w:p w:rsidR="00A562D3" w:rsidRPr="009336F9" w:rsidRDefault="00A562D3" w:rsidP="00B9322C">
            <w:pPr>
              <w:spacing w:line="276" w:lineRule="auto"/>
              <w:jc w:val="both"/>
              <w:rPr>
                <w:rFonts w:ascii="Arial" w:eastAsia="Calibri" w:hAnsi="Arial" w:cs="Arial"/>
                <w:w w:val="95"/>
                <w:lang w:val="hr-HR"/>
              </w:rPr>
            </w:pPr>
          </w:p>
        </w:tc>
        <w:tc>
          <w:tcPr>
            <w:tcW w:w="2008"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A562D3" w:rsidRPr="00F44A2A" w:rsidTr="00B9322C">
        <w:tc>
          <w:tcPr>
            <w:tcW w:w="3041" w:type="dxa"/>
            <w:gridSpan w:val="2"/>
          </w:tcPr>
          <w:p w:rsidR="00A562D3" w:rsidRDefault="00A562D3" w:rsidP="00B9322C">
            <w:pPr>
              <w:spacing w:line="276" w:lineRule="auto"/>
              <w:jc w:val="center"/>
              <w:rPr>
                <w:rFonts w:ascii="Arial" w:eastAsia="Calibri" w:hAnsi="Arial" w:cs="Arial"/>
                <w:w w:val="95"/>
                <w:sz w:val="16"/>
                <w:szCs w:val="16"/>
                <w:lang w:val="hr-HR"/>
              </w:rPr>
            </w:pPr>
          </w:p>
          <w:p w:rsidR="00A562D3"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 xml:space="preserve">Broj </w:t>
            </w:r>
            <w:r>
              <w:rPr>
                <w:rFonts w:ascii="Arial" w:eastAsia="Calibri" w:hAnsi="Arial" w:cs="Arial"/>
                <w:w w:val="95"/>
                <w:sz w:val="16"/>
                <w:szCs w:val="16"/>
                <w:lang w:val="hr-HR"/>
              </w:rPr>
              <w:t xml:space="preserve">objavljenih podataka o rezultatima rada suda </w:t>
            </w:r>
          </w:p>
          <w:p w:rsidR="00A562D3" w:rsidRPr="00F44A2A" w:rsidRDefault="00A562D3" w:rsidP="00B9322C">
            <w:pPr>
              <w:spacing w:line="276" w:lineRule="auto"/>
              <w:jc w:val="center"/>
              <w:rPr>
                <w:rFonts w:ascii="Arial" w:eastAsia="Calibri" w:hAnsi="Arial" w:cs="Arial"/>
                <w:w w:val="95"/>
                <w:sz w:val="16"/>
                <w:szCs w:val="16"/>
                <w:lang w:val="hr-HR"/>
              </w:rPr>
            </w:pPr>
          </w:p>
        </w:tc>
        <w:tc>
          <w:tcPr>
            <w:tcW w:w="2008" w:type="dxa"/>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c>
          <w:tcPr>
            <w:tcW w:w="2009" w:type="dxa"/>
            <w:gridSpan w:val="2"/>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c>
          <w:tcPr>
            <w:tcW w:w="2009" w:type="dxa"/>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r>
      <w:tr w:rsidR="00A562D3" w:rsidRPr="009336F9" w:rsidTr="00B9322C">
        <w:tc>
          <w:tcPr>
            <w:tcW w:w="988"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A562D3" w:rsidRPr="002F6522" w:rsidTr="00B9322C">
        <w:tc>
          <w:tcPr>
            <w:tcW w:w="988" w:type="dxa"/>
            <w:vAlign w:val="center"/>
          </w:tcPr>
          <w:p w:rsidR="00A562D3" w:rsidRPr="002F6522" w:rsidRDefault="00A562D3" w:rsidP="00A562D3">
            <w:pPr>
              <w:pStyle w:val="ListParagraph"/>
              <w:numPr>
                <w:ilvl w:val="0"/>
                <w:numId w:val="6"/>
              </w:numPr>
              <w:spacing w:line="276" w:lineRule="auto"/>
              <w:rPr>
                <w:rFonts w:ascii="Arial" w:eastAsia="Calibri" w:hAnsi="Arial" w:cs="Arial"/>
                <w:w w:val="95"/>
                <w:lang w:val="hr-HR"/>
              </w:rPr>
            </w:pPr>
          </w:p>
        </w:tc>
        <w:tc>
          <w:tcPr>
            <w:tcW w:w="2053" w:type="dxa"/>
            <w:vAlign w:val="center"/>
          </w:tcPr>
          <w:p w:rsidR="00A562D3" w:rsidRPr="002F6522"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Objava statističkih podataka o radu suda</w:t>
            </w:r>
          </w:p>
        </w:tc>
        <w:tc>
          <w:tcPr>
            <w:tcW w:w="3013" w:type="dxa"/>
            <w:gridSpan w:val="2"/>
            <w:vAlign w:val="center"/>
          </w:tcPr>
          <w:p w:rsidR="00A562D3" w:rsidRPr="002F6522" w:rsidRDefault="00A562D3" w:rsidP="00B9322C">
            <w:pPr>
              <w:spacing w:line="276" w:lineRule="auto"/>
              <w:jc w:val="center"/>
              <w:rPr>
                <w:rFonts w:ascii="Arial" w:eastAsia="Calibri" w:hAnsi="Arial" w:cs="Arial"/>
                <w:w w:val="95"/>
                <w:sz w:val="16"/>
                <w:szCs w:val="16"/>
                <w:lang w:val="hr-HR"/>
              </w:rPr>
            </w:pPr>
            <w:r w:rsidRPr="002F6522">
              <w:rPr>
                <w:rFonts w:ascii="Arial" w:eastAsia="Calibri" w:hAnsi="Arial" w:cs="Arial"/>
                <w:w w:val="95"/>
                <w:sz w:val="16"/>
                <w:szCs w:val="16"/>
                <w:lang w:val="hr-HR"/>
              </w:rPr>
              <w:t>I-IV</w:t>
            </w:r>
          </w:p>
        </w:tc>
        <w:tc>
          <w:tcPr>
            <w:tcW w:w="3013" w:type="dxa"/>
            <w:gridSpan w:val="2"/>
            <w:vAlign w:val="center"/>
          </w:tcPr>
          <w:p w:rsidR="00A562D3" w:rsidRPr="002F6522" w:rsidRDefault="00A562D3" w:rsidP="00B9322C">
            <w:pPr>
              <w:spacing w:line="276" w:lineRule="auto"/>
              <w:jc w:val="center"/>
              <w:rPr>
                <w:rFonts w:ascii="Arial" w:eastAsia="Calibri" w:hAnsi="Arial" w:cs="Arial"/>
                <w:b/>
                <w:w w:val="95"/>
                <w:sz w:val="16"/>
                <w:szCs w:val="16"/>
                <w:lang w:val="hr-HR"/>
              </w:rPr>
            </w:pPr>
            <w:r w:rsidRPr="002F6522">
              <w:rPr>
                <w:rFonts w:ascii="Arial" w:eastAsia="Calibri" w:hAnsi="Arial" w:cs="Arial"/>
                <w:b/>
                <w:w w:val="95"/>
                <w:sz w:val="16"/>
                <w:szCs w:val="16"/>
                <w:lang w:val="hr-HR"/>
              </w:rPr>
              <w:t>Sekretar suda i IKT službenik</w:t>
            </w:r>
          </w:p>
        </w:tc>
      </w:tr>
    </w:tbl>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1081"/>
        <w:gridCol w:w="2037"/>
        <w:gridCol w:w="1978"/>
        <w:gridCol w:w="994"/>
        <w:gridCol w:w="991"/>
        <w:gridCol w:w="1986"/>
      </w:tblGrid>
      <w:tr w:rsidR="00A562D3" w:rsidRPr="009336F9"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2</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i/>
                <w:w w:val="95"/>
                <w:lang w:val="hr-HR"/>
              </w:rPr>
            </w:pPr>
            <w:r>
              <w:rPr>
                <w:rFonts w:ascii="Arial" w:eastAsia="Calibri" w:hAnsi="Arial" w:cs="Arial"/>
                <w:b/>
                <w:i/>
                <w:w w:val="95"/>
                <w:lang w:val="hr-HR"/>
              </w:rPr>
              <w:t>Unaprijediti dostupnost informacija o radu suda stručnoj i široj javnosti</w:t>
            </w:r>
          </w:p>
        </w:tc>
      </w:tr>
      <w:tr w:rsidR="00A562D3" w:rsidRPr="00987583" w:rsidTr="00B9322C">
        <w:tc>
          <w:tcPr>
            <w:tcW w:w="3041" w:type="dxa"/>
            <w:gridSpan w:val="2"/>
            <w:shd w:val="clear" w:color="auto" w:fill="8EAADB"/>
          </w:tcPr>
          <w:p w:rsidR="00A562D3" w:rsidRPr="009336F9" w:rsidRDefault="00A562D3" w:rsidP="00B9322C">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w:t>
            </w:r>
            <w:r>
              <w:rPr>
                <w:rFonts w:ascii="Arial" w:eastAsia="Calibri" w:hAnsi="Arial" w:cs="Arial"/>
                <w:b/>
                <w:w w:val="95"/>
                <w:lang w:val="hr-HR"/>
              </w:rPr>
              <w:t>3</w:t>
            </w:r>
            <w:r w:rsidRPr="009336F9">
              <w:rPr>
                <w:rFonts w:ascii="Arial" w:eastAsia="Calibri" w:hAnsi="Arial" w:cs="Arial"/>
                <w:b/>
                <w:w w:val="95"/>
                <w:lang w:val="hr-HR"/>
              </w:rPr>
              <w:t>.</w:t>
            </w:r>
          </w:p>
          <w:p w:rsidR="00A562D3" w:rsidRPr="009336F9" w:rsidRDefault="00A562D3" w:rsidP="00B9322C">
            <w:pPr>
              <w:spacing w:line="276" w:lineRule="auto"/>
              <w:jc w:val="both"/>
              <w:rPr>
                <w:rFonts w:ascii="Arial" w:eastAsia="Calibri" w:hAnsi="Arial" w:cs="Arial"/>
                <w:b/>
                <w:w w:val="95"/>
                <w:lang w:val="hr-HR"/>
              </w:rPr>
            </w:pPr>
          </w:p>
        </w:tc>
        <w:tc>
          <w:tcPr>
            <w:tcW w:w="6026" w:type="dxa"/>
            <w:gridSpan w:val="4"/>
            <w:shd w:val="clear" w:color="auto" w:fill="8EAADB"/>
            <w:vAlign w:val="center"/>
          </w:tcPr>
          <w:p w:rsidR="00A562D3" w:rsidRPr="00987583" w:rsidRDefault="00A562D3" w:rsidP="00B9322C">
            <w:pPr>
              <w:spacing w:line="276" w:lineRule="auto"/>
              <w:jc w:val="center"/>
              <w:rPr>
                <w:rFonts w:ascii="Arial" w:eastAsia="Calibri" w:hAnsi="Arial" w:cs="Arial"/>
                <w:b/>
                <w:bCs/>
                <w:i/>
                <w:w w:val="95"/>
                <w:sz w:val="16"/>
                <w:szCs w:val="16"/>
                <w:lang w:val="hr-HR"/>
              </w:rPr>
            </w:pPr>
            <w:r>
              <w:rPr>
                <w:rFonts w:ascii="Arial" w:eastAsia="Calibri" w:hAnsi="Arial" w:cs="Arial"/>
                <w:b/>
                <w:bCs/>
                <w:i/>
                <w:w w:val="95"/>
                <w:sz w:val="16"/>
                <w:szCs w:val="16"/>
                <w:lang w:val="hr-HR"/>
              </w:rPr>
              <w:t>Unaprijediti komunikaciju sa strankama i predstavnicima medija</w:t>
            </w:r>
          </w:p>
        </w:tc>
      </w:tr>
      <w:tr w:rsidR="00A562D3" w:rsidRPr="009336F9" w:rsidTr="00B9322C">
        <w:tc>
          <w:tcPr>
            <w:tcW w:w="3041" w:type="dxa"/>
            <w:gridSpan w:val="2"/>
            <w:vMerge w:val="restart"/>
            <w:shd w:val="clear" w:color="auto" w:fill="8EAADB"/>
          </w:tcPr>
          <w:p w:rsidR="00A562D3" w:rsidRPr="009336F9" w:rsidRDefault="00A562D3" w:rsidP="00B9322C">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A562D3" w:rsidRPr="009336F9" w:rsidTr="00B9322C">
        <w:tc>
          <w:tcPr>
            <w:tcW w:w="3041" w:type="dxa"/>
            <w:gridSpan w:val="2"/>
            <w:vMerge/>
            <w:shd w:val="clear" w:color="auto" w:fill="8EAADB"/>
          </w:tcPr>
          <w:p w:rsidR="00A562D3" w:rsidRPr="009336F9" w:rsidRDefault="00A562D3" w:rsidP="00B9322C">
            <w:pPr>
              <w:spacing w:line="276" w:lineRule="auto"/>
              <w:jc w:val="both"/>
              <w:rPr>
                <w:rFonts w:ascii="Arial" w:eastAsia="Calibri" w:hAnsi="Arial" w:cs="Arial"/>
                <w:w w:val="95"/>
                <w:lang w:val="hr-HR"/>
              </w:rPr>
            </w:pPr>
          </w:p>
        </w:tc>
        <w:tc>
          <w:tcPr>
            <w:tcW w:w="2008"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A562D3" w:rsidRPr="00F44A2A" w:rsidTr="00B9322C">
        <w:tc>
          <w:tcPr>
            <w:tcW w:w="3041" w:type="dxa"/>
            <w:gridSpan w:val="2"/>
          </w:tcPr>
          <w:p w:rsidR="00A562D3" w:rsidRDefault="00A562D3" w:rsidP="00B9322C">
            <w:pPr>
              <w:spacing w:line="276" w:lineRule="auto"/>
              <w:jc w:val="center"/>
              <w:rPr>
                <w:rFonts w:ascii="Arial" w:eastAsia="Calibri" w:hAnsi="Arial" w:cs="Arial"/>
                <w:w w:val="95"/>
                <w:sz w:val="16"/>
                <w:szCs w:val="16"/>
                <w:lang w:val="hr-HR"/>
              </w:rPr>
            </w:pPr>
          </w:p>
          <w:p w:rsidR="00A562D3"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 xml:space="preserve">Procenat odgovora na zahtjeve za slobodan pristup informacijama </w:t>
            </w:r>
          </w:p>
          <w:p w:rsidR="00A562D3" w:rsidRPr="00F44A2A" w:rsidRDefault="00A562D3" w:rsidP="00B9322C">
            <w:pPr>
              <w:spacing w:line="276" w:lineRule="auto"/>
              <w:jc w:val="center"/>
              <w:rPr>
                <w:rFonts w:ascii="Arial" w:eastAsia="Calibri" w:hAnsi="Arial" w:cs="Arial"/>
                <w:w w:val="95"/>
                <w:sz w:val="16"/>
                <w:szCs w:val="16"/>
                <w:lang w:val="hr-HR"/>
              </w:rPr>
            </w:pPr>
          </w:p>
        </w:tc>
        <w:tc>
          <w:tcPr>
            <w:tcW w:w="2008" w:type="dxa"/>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c>
          <w:tcPr>
            <w:tcW w:w="2009" w:type="dxa"/>
            <w:gridSpan w:val="2"/>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c>
          <w:tcPr>
            <w:tcW w:w="2009" w:type="dxa"/>
            <w:vAlign w:val="center"/>
          </w:tcPr>
          <w:p w:rsidR="00A562D3" w:rsidRPr="00F44A2A" w:rsidRDefault="00A562D3" w:rsidP="00B9322C">
            <w:pPr>
              <w:spacing w:line="276" w:lineRule="auto"/>
              <w:jc w:val="center"/>
              <w:rPr>
                <w:rFonts w:ascii="Arial" w:eastAsia="Calibri" w:hAnsi="Arial" w:cs="Arial"/>
                <w:w w:val="95"/>
                <w:sz w:val="16"/>
                <w:szCs w:val="16"/>
                <w:lang w:val="hr-HR"/>
              </w:rPr>
            </w:pPr>
            <w:r w:rsidRPr="00F44A2A">
              <w:rPr>
                <w:rFonts w:ascii="Arial" w:eastAsia="Calibri" w:hAnsi="Arial" w:cs="Arial"/>
                <w:w w:val="95"/>
                <w:sz w:val="16"/>
                <w:szCs w:val="16"/>
                <w:lang w:val="hr-HR"/>
              </w:rPr>
              <w:t>100%</w:t>
            </w:r>
          </w:p>
        </w:tc>
      </w:tr>
      <w:tr w:rsidR="00A562D3" w:rsidRPr="009336F9" w:rsidTr="00B9322C">
        <w:tc>
          <w:tcPr>
            <w:tcW w:w="988"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rsidR="00A562D3" w:rsidRPr="009336F9" w:rsidRDefault="00A562D3" w:rsidP="00B9322C">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rsidR="00A562D3" w:rsidRPr="009336F9" w:rsidRDefault="00A562D3" w:rsidP="00B9322C">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A562D3" w:rsidRPr="002F6522" w:rsidTr="00B9322C">
        <w:tc>
          <w:tcPr>
            <w:tcW w:w="988" w:type="dxa"/>
            <w:vAlign w:val="center"/>
          </w:tcPr>
          <w:p w:rsidR="00A562D3" w:rsidRPr="002F6522" w:rsidRDefault="00A562D3" w:rsidP="00A562D3">
            <w:pPr>
              <w:pStyle w:val="ListParagraph"/>
              <w:numPr>
                <w:ilvl w:val="0"/>
                <w:numId w:val="7"/>
              </w:numPr>
              <w:spacing w:line="276" w:lineRule="auto"/>
              <w:rPr>
                <w:rFonts w:ascii="Arial" w:eastAsia="Calibri" w:hAnsi="Arial" w:cs="Arial"/>
                <w:w w:val="95"/>
                <w:lang w:val="hr-HR"/>
              </w:rPr>
            </w:pPr>
          </w:p>
        </w:tc>
        <w:tc>
          <w:tcPr>
            <w:tcW w:w="2053" w:type="dxa"/>
            <w:vAlign w:val="center"/>
          </w:tcPr>
          <w:p w:rsidR="00A562D3" w:rsidRPr="002F6522" w:rsidRDefault="00A562D3" w:rsidP="00B9322C">
            <w:pPr>
              <w:spacing w:line="276" w:lineRule="auto"/>
              <w:jc w:val="center"/>
              <w:rPr>
                <w:rFonts w:ascii="Arial" w:eastAsia="Calibri" w:hAnsi="Arial" w:cs="Arial"/>
                <w:w w:val="95"/>
                <w:sz w:val="16"/>
                <w:szCs w:val="16"/>
                <w:lang w:val="hr-HR"/>
              </w:rPr>
            </w:pPr>
            <w:r>
              <w:rPr>
                <w:rFonts w:ascii="Arial" w:eastAsia="Calibri" w:hAnsi="Arial" w:cs="Arial"/>
                <w:w w:val="95"/>
                <w:sz w:val="16"/>
                <w:szCs w:val="16"/>
                <w:lang w:val="hr-HR"/>
              </w:rPr>
              <w:t>Dostavljanje informacija u skladu sa Zakonom o slobodi pristupa informacijama, Zakonom o zaštiti ličnih podataka te Smjernicama VSTS BIH</w:t>
            </w:r>
          </w:p>
        </w:tc>
        <w:tc>
          <w:tcPr>
            <w:tcW w:w="3013" w:type="dxa"/>
            <w:gridSpan w:val="2"/>
            <w:vAlign w:val="center"/>
          </w:tcPr>
          <w:p w:rsidR="00A562D3" w:rsidRPr="002F6522" w:rsidRDefault="00A562D3" w:rsidP="00B9322C">
            <w:pPr>
              <w:spacing w:line="276" w:lineRule="auto"/>
              <w:jc w:val="center"/>
              <w:rPr>
                <w:rFonts w:ascii="Arial" w:eastAsia="Calibri" w:hAnsi="Arial" w:cs="Arial"/>
                <w:w w:val="95"/>
                <w:sz w:val="16"/>
                <w:szCs w:val="16"/>
                <w:lang w:val="hr-HR"/>
              </w:rPr>
            </w:pPr>
            <w:r w:rsidRPr="002F6522">
              <w:rPr>
                <w:rFonts w:ascii="Arial" w:eastAsia="Calibri" w:hAnsi="Arial" w:cs="Arial"/>
                <w:w w:val="95"/>
                <w:sz w:val="16"/>
                <w:szCs w:val="16"/>
                <w:lang w:val="hr-HR"/>
              </w:rPr>
              <w:t>I-IV</w:t>
            </w:r>
          </w:p>
        </w:tc>
        <w:tc>
          <w:tcPr>
            <w:tcW w:w="3013" w:type="dxa"/>
            <w:gridSpan w:val="2"/>
            <w:vAlign w:val="center"/>
          </w:tcPr>
          <w:p w:rsidR="00A562D3" w:rsidRPr="002F6522" w:rsidRDefault="00A562D3" w:rsidP="00B9322C">
            <w:pPr>
              <w:spacing w:line="276" w:lineRule="auto"/>
              <w:jc w:val="center"/>
              <w:rPr>
                <w:rFonts w:ascii="Arial" w:eastAsia="Calibri" w:hAnsi="Arial" w:cs="Arial"/>
                <w:b/>
                <w:w w:val="95"/>
                <w:sz w:val="16"/>
                <w:szCs w:val="16"/>
                <w:lang w:val="hr-HR"/>
              </w:rPr>
            </w:pPr>
            <w:r w:rsidRPr="002F6522">
              <w:rPr>
                <w:rFonts w:ascii="Arial" w:eastAsia="Calibri" w:hAnsi="Arial" w:cs="Arial"/>
                <w:b/>
                <w:w w:val="95"/>
                <w:sz w:val="16"/>
                <w:szCs w:val="16"/>
                <w:lang w:val="hr-HR"/>
              </w:rPr>
              <w:t>Sekretar suda</w:t>
            </w:r>
          </w:p>
        </w:tc>
      </w:tr>
    </w:tbl>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3E221F" w:rsidRDefault="003E221F" w:rsidP="00A562D3">
      <w:pPr>
        <w:spacing w:before="40" w:line="276" w:lineRule="auto"/>
        <w:ind w:left="0"/>
        <w:jc w:val="both"/>
        <w:rPr>
          <w:rFonts w:ascii="Arial" w:hAnsi="Arial" w:cs="Arial"/>
          <w:w w:val="95"/>
          <w:sz w:val="28"/>
          <w:szCs w:val="24"/>
          <w:lang w:val="hr-HR"/>
        </w:rPr>
      </w:pPr>
    </w:p>
    <w:p w:rsidR="00A562D3" w:rsidRDefault="00A562D3" w:rsidP="00A562D3">
      <w:pPr>
        <w:spacing w:before="40" w:line="276" w:lineRule="auto"/>
        <w:ind w:left="0"/>
        <w:jc w:val="both"/>
        <w:rPr>
          <w:rFonts w:ascii="Arial" w:hAnsi="Arial" w:cs="Arial"/>
          <w:w w:val="95"/>
          <w:sz w:val="28"/>
          <w:szCs w:val="24"/>
          <w:lang w:val="hr-HR"/>
        </w:rPr>
      </w:pPr>
    </w:p>
    <w:p w:rsidR="00A562D3" w:rsidRPr="009336F9" w:rsidRDefault="00A562D3" w:rsidP="00A562D3">
      <w:pPr>
        <w:pStyle w:val="Heading1"/>
      </w:pPr>
      <w:bookmarkStart w:id="26" w:name="_Toc29479787"/>
      <w:bookmarkStart w:id="27" w:name="_Toc39666949"/>
      <w:bookmarkStart w:id="28" w:name="_Toc182901250"/>
      <w:r>
        <w:lastRenderedPageBreak/>
        <w:t>C.</w:t>
      </w:r>
      <w:r>
        <w:tab/>
      </w:r>
      <w:r w:rsidRPr="009336F9">
        <w:t>Godišnji plan rješavanja sudskih predmeta</w:t>
      </w:r>
      <w:bookmarkEnd w:id="26"/>
      <w:bookmarkEnd w:id="27"/>
      <w:bookmarkEnd w:id="28"/>
    </w:p>
    <w:p w:rsidR="00A562D3" w:rsidRPr="009701D8" w:rsidRDefault="00A562D3" w:rsidP="00A562D3">
      <w:pPr>
        <w:spacing w:before="40" w:line="276" w:lineRule="auto"/>
        <w:ind w:left="0"/>
        <w:jc w:val="both"/>
        <w:rPr>
          <w:rFonts w:ascii="Arial" w:hAnsi="Arial" w:cs="Arial"/>
          <w:w w:val="95"/>
          <w:sz w:val="24"/>
          <w:szCs w:val="24"/>
          <w:lang w:val="hr-HR"/>
        </w:rPr>
      </w:pPr>
    </w:p>
    <w:p w:rsidR="00A562D3" w:rsidRPr="00D6413F" w:rsidRDefault="00A562D3" w:rsidP="00A562D3">
      <w:pPr>
        <w:ind w:left="0"/>
        <w:jc w:val="both"/>
        <w:rPr>
          <w:rFonts w:ascii="Arial" w:hAnsi="Arial" w:cs="Arial"/>
          <w:w w:val="95"/>
          <w:lang w:val="hr-HR"/>
        </w:rPr>
      </w:pPr>
      <w:r w:rsidRPr="00D6413F">
        <w:rPr>
          <w:rFonts w:ascii="Arial" w:hAnsi="Arial" w:cs="Arial"/>
          <w:w w:val="95"/>
          <w:lang w:val="hr-HR"/>
        </w:rPr>
        <w:t>Plan rješavanja predmeta u sudovima se izrađuje u skladu s važećim Uputstvom za izradu planova rješavanja predmeta usvojenog od strane VSTV-a.</w:t>
      </w:r>
    </w:p>
    <w:p w:rsidR="00A562D3" w:rsidRDefault="00A562D3" w:rsidP="00A562D3">
      <w:pPr>
        <w:spacing w:before="40" w:line="276" w:lineRule="auto"/>
        <w:ind w:left="0"/>
        <w:jc w:val="both"/>
        <w:rPr>
          <w:rFonts w:ascii="Arial" w:hAnsi="Arial" w:cs="Arial"/>
          <w:w w:val="95"/>
          <w:sz w:val="14"/>
          <w:szCs w:val="14"/>
          <w:lang w:val="hr-HR"/>
        </w:rPr>
      </w:pPr>
    </w:p>
    <w:p w:rsidR="00A562D3" w:rsidRDefault="00A562D3" w:rsidP="00A562D3">
      <w:pPr>
        <w:pStyle w:val="Heading1"/>
      </w:pPr>
      <w:bookmarkStart w:id="29" w:name="_Toc182901251"/>
      <w:r>
        <w:t>D. Ostale informacije</w:t>
      </w:r>
      <w:bookmarkEnd w:id="29"/>
      <w:r>
        <w:t xml:space="preserve"> </w:t>
      </w:r>
    </w:p>
    <w:p w:rsidR="00A562D3" w:rsidRDefault="00A562D3" w:rsidP="00A562D3">
      <w:pPr>
        <w:ind w:left="0"/>
        <w:jc w:val="both"/>
        <w:rPr>
          <w:rFonts w:ascii="Arial" w:hAnsi="Arial" w:cs="Arial"/>
          <w:sz w:val="24"/>
          <w:szCs w:val="24"/>
        </w:rPr>
      </w:pPr>
    </w:p>
    <w:p w:rsidR="00A562D3" w:rsidRPr="00D6413F" w:rsidRDefault="00A562D3" w:rsidP="00A562D3">
      <w:pPr>
        <w:ind w:left="0"/>
        <w:jc w:val="both"/>
        <w:rPr>
          <w:rFonts w:ascii="Arial" w:hAnsi="Arial" w:cs="Arial"/>
        </w:rPr>
      </w:pPr>
      <w:r w:rsidRPr="00D6413F">
        <w:rPr>
          <w:rFonts w:ascii="Arial" w:hAnsi="Arial" w:cs="Arial"/>
        </w:rPr>
        <w:t>(Podaci o broju i strukturi radih mjesta, sredstva za izvršenje godišnjeg programa rada i druge informacije koje smatrate da treba navesti. Sažeto i kratko kao što ste navodili i prethodnim godišnjim programima rada)</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r w:rsidRPr="00D6413F">
        <w:rPr>
          <w:rFonts w:ascii="Arial" w:hAnsi="Arial" w:cs="Arial"/>
        </w:rPr>
        <w:t xml:space="preserve">U skladu sa utvrđenim brojem sudija u Okružnom sudu u Trebinju (Odlukom Visokog sudskog i tužilačkog savjeta BiH) utvrđeno je da Okružni sud ima 5 (pet) sudija, uključujući i predsjednika suda. Trenutno u Okružnom sudu u Trebinju je zaposleno 5 sudija, uključujući i predsjednika suda. U skladu sa Pravilnikom o unutrašnjoj organizaciji i sistematizaciji radnim mjesta u Okružnom sudu u Trebinju je zaposleno 15 administrativnih radnika i popunjena su sva upražnjena mjesta, te 2 viša stručna saradnika, dok je upražnjeno jedno mjesto višeg stručnog saradnika. Popunjena su dva mjesta sudijskog pripravnika, dok su upražnjena dva mjesta sudijskog pripravnika - volontera. 14 zaposlenih je sa VSS, dok je 10 sa SSS. </w:t>
      </w:r>
    </w:p>
    <w:p w:rsidR="00A562D3" w:rsidRPr="00D6413F" w:rsidRDefault="00A562D3" w:rsidP="00A562D3">
      <w:pPr>
        <w:ind w:left="0"/>
        <w:jc w:val="both"/>
        <w:rPr>
          <w:rFonts w:ascii="Arial" w:hAnsi="Arial" w:cs="Arial"/>
        </w:rPr>
      </w:pPr>
    </w:p>
    <w:p w:rsidR="00A562D3" w:rsidRPr="00281B20" w:rsidRDefault="00A562D3" w:rsidP="00A562D3">
      <w:pPr>
        <w:ind w:left="0"/>
        <w:jc w:val="both"/>
        <w:rPr>
          <w:rFonts w:ascii="Arial" w:hAnsi="Arial" w:cs="Arial"/>
        </w:rPr>
      </w:pPr>
      <w:r w:rsidRPr="00281B20">
        <w:rPr>
          <w:rFonts w:ascii="Arial" w:hAnsi="Arial" w:cs="Arial"/>
        </w:rPr>
        <w:t xml:space="preserve">Zgrada Okružnog suda u Trebinju je smještena u zajedničkoj zgradi pravosudnih institucija u Trebinju zajedno sa Osnovnim sudom u Trebinju, te Okružnim javnim tužilaštvom u Trebinju. Zgrada ima puni smještajni kapacitet, te je prilično dobro opremljena informacionom tehnologijom.  Za vršenje poslova kojim se osiguravaju uslovi za pravilan rad suda, obrazovane su organizacione jedinice i to: krivično – prekršajno odjeljenje, građansko – upravno odjeljenje, odjeljenje sudske uprave, te sektor za administrativno – tehničke poslove, kao i računovodstveni sektor. </w:t>
      </w:r>
    </w:p>
    <w:p w:rsidR="00A562D3" w:rsidRPr="00D6413F" w:rsidRDefault="00A562D3" w:rsidP="00A562D3">
      <w:pPr>
        <w:ind w:left="0"/>
        <w:jc w:val="both"/>
        <w:rPr>
          <w:rFonts w:ascii="Arial" w:hAnsi="Arial" w:cs="Arial"/>
        </w:rPr>
      </w:pPr>
    </w:p>
    <w:p w:rsidR="00A562D3" w:rsidRPr="00D6413F" w:rsidRDefault="00A562D3" w:rsidP="00A562D3">
      <w:pPr>
        <w:ind w:left="0"/>
        <w:jc w:val="both"/>
        <w:rPr>
          <w:rFonts w:ascii="Arial" w:hAnsi="Arial" w:cs="Arial"/>
        </w:rPr>
      </w:pPr>
      <w:r w:rsidRPr="00D6413F">
        <w:rPr>
          <w:rFonts w:ascii="Arial" w:hAnsi="Arial" w:cs="Arial"/>
        </w:rPr>
        <w:t>Okružni sud u Trebinju se finansira sredstvima obezbjeđenim u budžetu Republike Srpske.</w:t>
      </w:r>
    </w:p>
    <w:p w:rsidR="00A562D3" w:rsidRPr="0067505E" w:rsidRDefault="00A562D3" w:rsidP="00A562D3">
      <w:pPr>
        <w:ind w:left="0"/>
        <w:jc w:val="both"/>
        <w:rPr>
          <w:rFonts w:ascii="Arial" w:hAnsi="Arial" w:cs="Arial"/>
        </w:rPr>
      </w:pPr>
    </w:p>
    <w:p w:rsidR="00A562D3" w:rsidRPr="0067505E" w:rsidRDefault="00A562D3" w:rsidP="00A562D3">
      <w:pPr>
        <w:ind w:left="0"/>
        <w:jc w:val="both"/>
        <w:rPr>
          <w:rFonts w:ascii="Arial" w:hAnsi="Arial" w:cs="Arial"/>
          <w:b/>
          <w:bCs/>
        </w:rPr>
      </w:pPr>
    </w:p>
    <w:p w:rsidR="00A562D3" w:rsidRPr="0067505E" w:rsidRDefault="00A562D3" w:rsidP="00A562D3">
      <w:pPr>
        <w:spacing w:before="40"/>
        <w:ind w:left="0"/>
        <w:jc w:val="both"/>
        <w:rPr>
          <w:rFonts w:ascii="Arial" w:eastAsia="Calibri" w:hAnsi="Arial" w:cs="Arial"/>
          <w:w w:val="95"/>
          <w:lang w:val="hr-HR"/>
        </w:rPr>
      </w:pPr>
    </w:p>
    <w:p w:rsidR="006C3227" w:rsidRDefault="006C3227"/>
    <w:sectPr w:rsidR="006C3227" w:rsidSect="003E7538">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951" w:rsidRDefault="00904951">
      <w:r>
        <w:separator/>
      </w:r>
    </w:p>
  </w:endnote>
  <w:endnote w:type="continuationSeparator" w:id="0">
    <w:p w:rsidR="00904951" w:rsidRDefault="0090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7B4448" w:rsidTr="003E7538">
      <w:tc>
        <w:tcPr>
          <w:tcW w:w="8217" w:type="dxa"/>
        </w:tcPr>
        <w:p w:rsidR="007B4448" w:rsidRDefault="00904951" w:rsidP="003E7538">
          <w:pPr>
            <w:pStyle w:val="Footer"/>
          </w:pPr>
        </w:p>
      </w:tc>
      <w:tc>
        <w:tcPr>
          <w:tcW w:w="845" w:type="dxa"/>
          <w:shd w:val="clear" w:color="auto" w:fill="C00000"/>
          <w:vAlign w:val="center"/>
        </w:tcPr>
        <w:p w:rsidR="007B4448" w:rsidRPr="003E7538" w:rsidRDefault="00A562D3" w:rsidP="003E7538">
          <w:pPr>
            <w:pStyle w:val="Footer"/>
            <w:jc w:val="center"/>
            <w:rPr>
              <w:rFonts w:ascii="Arial" w:hAnsi="Arial" w:cs="Arial"/>
              <w:b/>
              <w:bCs/>
              <w:szCs w:val="22"/>
            </w:rPr>
          </w:pPr>
          <w:r w:rsidRPr="003E7538">
            <w:rPr>
              <w:rFonts w:ascii="Arial" w:hAnsi="Arial" w:cs="Arial"/>
              <w:b/>
              <w:bCs/>
            </w:rPr>
            <w:fldChar w:fldCharType="begin"/>
          </w:r>
          <w:r w:rsidRPr="003E7538">
            <w:rPr>
              <w:rFonts w:ascii="Arial" w:hAnsi="Arial" w:cs="Arial"/>
              <w:b/>
              <w:bCs/>
              <w:szCs w:val="22"/>
            </w:rPr>
            <w:instrText>PAGE   \* MERGEFORMAT</w:instrText>
          </w:r>
          <w:r w:rsidRPr="003E7538">
            <w:rPr>
              <w:rFonts w:ascii="Arial" w:hAnsi="Arial" w:cs="Arial"/>
              <w:b/>
              <w:bCs/>
            </w:rPr>
            <w:fldChar w:fldCharType="separate"/>
          </w:r>
          <w:r w:rsidRPr="00246C7B">
            <w:rPr>
              <w:rFonts w:ascii="Arial" w:hAnsi="Arial" w:cs="Arial"/>
              <w:b/>
              <w:bCs/>
              <w:noProof/>
              <w:szCs w:val="22"/>
              <w:lang w:val="hr-HR"/>
            </w:rPr>
            <w:t>1</w:t>
          </w:r>
          <w:r w:rsidRPr="003E7538">
            <w:rPr>
              <w:rFonts w:ascii="Arial" w:hAnsi="Arial" w:cs="Arial"/>
              <w:b/>
              <w:bCs/>
            </w:rPr>
            <w:fldChar w:fldCharType="end"/>
          </w:r>
        </w:p>
      </w:tc>
    </w:tr>
  </w:tbl>
  <w:p w:rsidR="007B4448" w:rsidRDefault="00904951" w:rsidP="003E7538">
    <w:pPr>
      <w:pStyle w:val="Footer"/>
      <w:ind w:left="0"/>
    </w:pPr>
  </w:p>
  <w:p w:rsidR="007B4448" w:rsidRDefault="00904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951" w:rsidRDefault="00904951">
      <w:r>
        <w:separator/>
      </w:r>
    </w:p>
  </w:footnote>
  <w:footnote w:type="continuationSeparator" w:id="0">
    <w:p w:rsidR="00904951" w:rsidRDefault="00904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448" w:rsidRDefault="00904951"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7E99"/>
    <w:multiLevelType w:val="hybridMultilevel"/>
    <w:tmpl w:val="EA682672"/>
    <w:lvl w:ilvl="0" w:tplc="18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4142867"/>
    <w:multiLevelType w:val="hybridMultilevel"/>
    <w:tmpl w:val="57688F9A"/>
    <w:lvl w:ilvl="0" w:tplc="18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06A806A1"/>
    <w:multiLevelType w:val="hybridMultilevel"/>
    <w:tmpl w:val="D1DEC63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3A97854"/>
    <w:multiLevelType w:val="hybridMultilevel"/>
    <w:tmpl w:val="D1DEC63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5" w15:restartNumberingAfterBreak="0">
    <w:nsid w:val="25B431AE"/>
    <w:multiLevelType w:val="hybridMultilevel"/>
    <w:tmpl w:val="571AD6A2"/>
    <w:lvl w:ilvl="0" w:tplc="18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7" w15:restartNumberingAfterBreak="0">
    <w:nsid w:val="29414EE7"/>
    <w:multiLevelType w:val="hybridMultilevel"/>
    <w:tmpl w:val="96BC1FEE"/>
    <w:lvl w:ilvl="0" w:tplc="18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3A981293"/>
    <w:multiLevelType w:val="hybridMultilevel"/>
    <w:tmpl w:val="126E771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3AD4198D"/>
    <w:multiLevelType w:val="hybridMultilevel"/>
    <w:tmpl w:val="F83A50F0"/>
    <w:lvl w:ilvl="0" w:tplc="0B007814">
      <w:start w:val="1"/>
      <w:numFmt w:val="upperLetter"/>
      <w:lvlText w:val="%1."/>
      <w:lvlJc w:val="left"/>
      <w:pPr>
        <w:ind w:left="780" w:hanging="4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464E4F35"/>
    <w:multiLevelType w:val="hybridMultilevel"/>
    <w:tmpl w:val="C352B942"/>
    <w:lvl w:ilvl="0" w:tplc="18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1" w15:restartNumberingAfterBreak="0">
    <w:nsid w:val="46C0760F"/>
    <w:multiLevelType w:val="hybridMultilevel"/>
    <w:tmpl w:val="D1DEC63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5BB15C4C"/>
    <w:multiLevelType w:val="hybridMultilevel"/>
    <w:tmpl w:val="931CFE98"/>
    <w:lvl w:ilvl="0" w:tplc="7436CC36">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61067362"/>
    <w:multiLevelType w:val="hybridMultilevel"/>
    <w:tmpl w:val="AA24D6DE"/>
    <w:lvl w:ilvl="0" w:tplc="18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67B9717B"/>
    <w:multiLevelType w:val="hybridMultilevel"/>
    <w:tmpl w:val="126E771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7D5742CC"/>
    <w:multiLevelType w:val="hybridMultilevel"/>
    <w:tmpl w:val="B4DA9620"/>
    <w:lvl w:ilvl="0" w:tplc="18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14"/>
  </w:num>
  <w:num w:numId="5">
    <w:abstractNumId w:val="11"/>
  </w:num>
  <w:num w:numId="6">
    <w:abstractNumId w:val="3"/>
  </w:num>
  <w:num w:numId="7">
    <w:abstractNumId w:val="2"/>
  </w:num>
  <w:num w:numId="8">
    <w:abstractNumId w:val="5"/>
  </w:num>
  <w:num w:numId="9">
    <w:abstractNumId w:val="15"/>
  </w:num>
  <w:num w:numId="10">
    <w:abstractNumId w:val="10"/>
  </w:num>
  <w:num w:numId="11">
    <w:abstractNumId w:val="0"/>
  </w:num>
  <w:num w:numId="12">
    <w:abstractNumId w:val="1"/>
  </w:num>
  <w:num w:numId="13">
    <w:abstractNumId w:val="13"/>
  </w:num>
  <w:num w:numId="14">
    <w:abstractNumId w:val="7"/>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D3"/>
    <w:rsid w:val="002C4CEC"/>
    <w:rsid w:val="002E5EAD"/>
    <w:rsid w:val="003E221F"/>
    <w:rsid w:val="004970D8"/>
    <w:rsid w:val="004D3924"/>
    <w:rsid w:val="006C3227"/>
    <w:rsid w:val="008F7C6E"/>
    <w:rsid w:val="00904951"/>
    <w:rsid w:val="009448F1"/>
    <w:rsid w:val="00A562D3"/>
    <w:rsid w:val="00C558BD"/>
    <w:rsid w:val="00CC355F"/>
    <w:rsid w:val="00FB2E6C"/>
    <w:rsid w:val="00FB6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4A81C-3D05-4974-92BA-66368AB5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62D3"/>
    <w:pPr>
      <w:ind w:left="284"/>
      <w:jc w:val="left"/>
    </w:pPr>
    <w:rPr>
      <w:rFonts w:asciiTheme="minorHAnsi" w:hAnsiTheme="minorHAnsi"/>
      <w:sz w:val="22"/>
      <w:lang w:val="en-GB"/>
    </w:rPr>
  </w:style>
  <w:style w:type="paragraph" w:styleId="Heading1">
    <w:name w:val="heading 1"/>
    <w:basedOn w:val="Normal"/>
    <w:next w:val="Normal"/>
    <w:link w:val="Heading1Char"/>
    <w:uiPriority w:val="9"/>
    <w:qFormat/>
    <w:rsid w:val="00A562D3"/>
    <w:pPr>
      <w:keepNext/>
      <w:keepLines/>
      <w:tabs>
        <w:tab w:val="left" w:pos="426"/>
      </w:tabs>
      <w:spacing w:before="240"/>
      <w:ind w:left="0"/>
      <w:outlineLvl w:val="0"/>
    </w:pPr>
    <w:rPr>
      <w:rFonts w:ascii="Arial" w:eastAsia="Times New Roman" w:hAnsi="Arial" w:cs="Arial"/>
      <w:b/>
      <w:bCs/>
      <w:color w:val="2F5496" w:themeColor="accent1" w:themeShade="BF"/>
      <w:w w:val="95"/>
      <w:sz w:val="28"/>
      <w:szCs w:val="28"/>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2D3"/>
    <w:rPr>
      <w:rFonts w:ascii="Arial" w:eastAsia="Times New Roman" w:hAnsi="Arial" w:cs="Arial"/>
      <w:b/>
      <w:bCs/>
      <w:color w:val="2F5496" w:themeColor="accent1" w:themeShade="BF"/>
      <w:w w:val="95"/>
      <w:sz w:val="28"/>
      <w:szCs w:val="28"/>
      <w:lang w:val="hr-HR"/>
    </w:rPr>
  </w:style>
  <w:style w:type="table" w:styleId="TableGrid">
    <w:name w:val="Table Grid"/>
    <w:basedOn w:val="TableNormal"/>
    <w:uiPriority w:val="39"/>
    <w:rsid w:val="00A562D3"/>
    <w:pPr>
      <w:jc w:val="left"/>
    </w:pPr>
    <w:rPr>
      <w:rFonts w:asciiTheme="minorHAnsi" w:hAnsiTheme="minorHAnsi"/>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562D3"/>
    <w:pPr>
      <w:ind w:left="720"/>
      <w:contextualSpacing/>
    </w:pPr>
  </w:style>
  <w:style w:type="paragraph" w:styleId="TOCHeading">
    <w:name w:val="TOC Heading"/>
    <w:basedOn w:val="Heading1"/>
    <w:next w:val="Normal"/>
    <w:uiPriority w:val="39"/>
    <w:unhideWhenUsed/>
    <w:qFormat/>
    <w:rsid w:val="00A562D3"/>
    <w:pPr>
      <w:spacing w:line="259" w:lineRule="auto"/>
      <w:outlineLvl w:val="9"/>
    </w:pPr>
    <w:rPr>
      <w:lang w:val="en-US"/>
    </w:rPr>
  </w:style>
  <w:style w:type="character" w:styleId="Hyperlink">
    <w:name w:val="Hyperlink"/>
    <w:basedOn w:val="DefaultParagraphFont"/>
    <w:uiPriority w:val="99"/>
    <w:unhideWhenUsed/>
    <w:rsid w:val="00A562D3"/>
    <w:rPr>
      <w:color w:val="0563C1" w:themeColor="hyperlink"/>
      <w:u w:val="single"/>
    </w:rPr>
  </w:style>
  <w:style w:type="paragraph" w:styleId="TOC1">
    <w:name w:val="toc 1"/>
    <w:basedOn w:val="Normal"/>
    <w:next w:val="Normal"/>
    <w:autoRedefine/>
    <w:uiPriority w:val="39"/>
    <w:unhideWhenUsed/>
    <w:rsid w:val="00A562D3"/>
    <w:pPr>
      <w:tabs>
        <w:tab w:val="right" w:leader="dot" w:pos="9062"/>
      </w:tabs>
      <w:spacing w:after="100"/>
      <w:ind w:left="567" w:hanging="284"/>
    </w:pPr>
  </w:style>
  <w:style w:type="paragraph" w:styleId="Header">
    <w:name w:val="header"/>
    <w:basedOn w:val="Normal"/>
    <w:link w:val="HeaderChar"/>
    <w:uiPriority w:val="99"/>
    <w:unhideWhenUsed/>
    <w:rsid w:val="00A562D3"/>
    <w:pPr>
      <w:tabs>
        <w:tab w:val="center" w:pos="4536"/>
        <w:tab w:val="right" w:pos="9072"/>
      </w:tabs>
    </w:pPr>
  </w:style>
  <w:style w:type="character" w:customStyle="1" w:styleId="HeaderChar">
    <w:name w:val="Header Char"/>
    <w:basedOn w:val="DefaultParagraphFont"/>
    <w:link w:val="Header"/>
    <w:uiPriority w:val="99"/>
    <w:rsid w:val="00A562D3"/>
    <w:rPr>
      <w:rFonts w:asciiTheme="minorHAnsi" w:hAnsiTheme="minorHAnsi"/>
      <w:sz w:val="22"/>
      <w:lang w:val="en-GB"/>
    </w:rPr>
  </w:style>
  <w:style w:type="paragraph" w:styleId="Footer">
    <w:name w:val="footer"/>
    <w:basedOn w:val="Normal"/>
    <w:link w:val="FooterChar"/>
    <w:uiPriority w:val="99"/>
    <w:unhideWhenUsed/>
    <w:rsid w:val="00A562D3"/>
    <w:pPr>
      <w:tabs>
        <w:tab w:val="center" w:pos="4536"/>
        <w:tab w:val="right" w:pos="9072"/>
      </w:tabs>
    </w:pPr>
  </w:style>
  <w:style w:type="character" w:customStyle="1" w:styleId="FooterChar">
    <w:name w:val="Footer Char"/>
    <w:basedOn w:val="DefaultParagraphFont"/>
    <w:link w:val="Footer"/>
    <w:uiPriority w:val="99"/>
    <w:rsid w:val="00A562D3"/>
    <w:rPr>
      <w:rFonts w:asciiTheme="minorHAnsi" w:hAnsiTheme="minorHAnsi"/>
      <w:sz w:val="22"/>
      <w:lang w:val="en-GB"/>
    </w:rPr>
  </w:style>
  <w:style w:type="character" w:customStyle="1" w:styleId="ListParagraphChar">
    <w:name w:val="List Paragraph Char"/>
    <w:basedOn w:val="DefaultParagraphFont"/>
    <w:link w:val="ListParagraph"/>
    <w:uiPriority w:val="34"/>
    <w:rsid w:val="00A562D3"/>
    <w:rPr>
      <w:rFonts w:asciiTheme="minorHAnsi" w:hAnsiTheme="minorHAnsi"/>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16</Pages>
  <Words>4628</Words>
  <Characters>26385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OKRUŽNOG SUDA U TREBINJU</dc:title>
  <dc:subject/>
  <dc:creator>Ivana Savic</dc:creator>
  <cp:keywords/>
  <dc:description/>
  <cp:lastModifiedBy>Ivana Savic</cp:lastModifiedBy>
  <cp:revision>8</cp:revision>
  <dcterms:created xsi:type="dcterms:W3CDTF">2024-11-19T08:27:00Z</dcterms:created>
  <dcterms:modified xsi:type="dcterms:W3CDTF">2024-11-19T12:03:00Z</dcterms:modified>
</cp:coreProperties>
</file>