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EF5" w:rsidRPr="00B74EF5" w:rsidRDefault="00B74EF5" w:rsidP="00B74EF5">
      <w:pPr>
        <w:jc w:val="center"/>
        <w:rPr>
          <w:rFonts w:cs="Calibri"/>
          <w:b/>
          <w:bCs/>
          <w:color w:val="000000" w:themeColor="text1"/>
        </w:rPr>
      </w:pPr>
      <w:bookmarkStart w:id="0" w:name="_Hlk209096758"/>
      <w:r w:rsidRPr="00B74EF5">
        <w:rPr>
          <w:rFonts w:cs="Calibri"/>
          <w:b/>
          <w:bCs/>
          <w:color w:val="000000" w:themeColor="text1"/>
        </w:rPr>
        <w:t>Towards a better evaluation of the results of judicial reforms in the Western Balkans – “Dashboard Western Balkans“</w:t>
      </w:r>
    </w:p>
    <w:p w:rsidR="00B74EF5" w:rsidRDefault="00B74EF5" w:rsidP="00B74EF5">
      <w:pPr>
        <w:ind w:right="-46"/>
        <w:jc w:val="both"/>
        <w:rPr>
          <w:rFonts w:cs="Calibri"/>
          <w:b/>
          <w:bCs/>
        </w:rPr>
      </w:pPr>
      <w:r w:rsidRPr="004E05BA">
        <w:rPr>
          <w:rFonts w:cs="Calibri"/>
          <w:b/>
          <w:bCs/>
        </w:rPr>
        <w:t xml:space="preserve">General information </w:t>
      </w:r>
    </w:p>
    <w:p w:rsidR="00B74EF5" w:rsidRPr="00FC3E3F" w:rsidRDefault="00B74EF5" w:rsidP="00B74EF5">
      <w:pPr>
        <w:ind w:right="-46"/>
        <w:jc w:val="both"/>
        <w:rPr>
          <w:rFonts w:cs="Calibri"/>
        </w:rPr>
      </w:pPr>
      <w:r w:rsidRPr="00FC3E3F">
        <w:rPr>
          <w:rFonts w:cs="Calibri"/>
        </w:rPr>
        <w:t>This Action is implemented in the framework of the Horizontal Facility III (2023 - 2026), a co-operation initiative of the European Union and Council of Europe for the Western Balkans and Türkiye. The Horizontal Facility III enables the beneficiaries to meet their reform agendas in the fields of human rights, rule of law and democracy and to comply with the European standards. It is funded by the European Union and the Council of Europe and implemented by the Council of Europe. It builds upon the results and progress achieved under the first phase of the programme, implemented in the period 2019 - 2022.</w:t>
      </w:r>
    </w:p>
    <w:p w:rsidR="00B74EF5" w:rsidRPr="004E05BA" w:rsidRDefault="00B74EF5" w:rsidP="00B74EF5">
      <w:pPr>
        <w:ind w:right="-46"/>
        <w:jc w:val="both"/>
        <w:rPr>
          <w:rFonts w:cs="Calibri"/>
        </w:rPr>
      </w:pPr>
      <w:r w:rsidRPr="004E05BA">
        <w:rPr>
          <w:rFonts w:cs="Calibri"/>
          <w:b/>
          <w:bCs/>
        </w:rPr>
        <w:t>Donor</w:t>
      </w:r>
      <w:r w:rsidRPr="004E05BA">
        <w:rPr>
          <w:rFonts w:cs="Calibri"/>
        </w:rPr>
        <w:t>: The project is co-funded by the European Union and the Council of Europe  as a part of the joint programme entitled "</w:t>
      </w:r>
      <w:hyperlink r:id="rId10" w:history="1">
        <w:r w:rsidRPr="004E05BA">
          <w:rPr>
            <w:rStyle w:val="Hyperlink"/>
            <w:rFonts w:cs="Calibri"/>
          </w:rPr>
          <w:t>Horizontal Facility for the Western Balkans and Türkiye III</w:t>
        </w:r>
      </w:hyperlink>
      <w:r w:rsidRPr="004E05BA">
        <w:rPr>
          <w:rFonts w:cs="Calibri"/>
        </w:rPr>
        <w:t>", and is implemented by the Council of Europe.</w:t>
      </w:r>
    </w:p>
    <w:p w:rsidR="00B74EF5" w:rsidRPr="004E05BA" w:rsidRDefault="00B74EF5" w:rsidP="00B74EF5">
      <w:pPr>
        <w:ind w:right="-46"/>
        <w:jc w:val="both"/>
        <w:rPr>
          <w:rFonts w:cs="Calibri"/>
        </w:rPr>
      </w:pPr>
      <w:r w:rsidRPr="004E05BA">
        <w:rPr>
          <w:rFonts w:cs="Calibri"/>
          <w:b/>
          <w:bCs/>
        </w:rPr>
        <w:t>Implementation period</w:t>
      </w:r>
      <w:r w:rsidRPr="004E05BA">
        <w:rPr>
          <w:rFonts w:cs="Calibri"/>
        </w:rPr>
        <w:t>: January 2023 – December 2026</w:t>
      </w:r>
    </w:p>
    <w:p w:rsidR="00B74EF5" w:rsidRPr="004E05BA" w:rsidRDefault="00B74EF5" w:rsidP="00B74EF5">
      <w:pPr>
        <w:ind w:right="-46"/>
        <w:jc w:val="both"/>
        <w:rPr>
          <w:rFonts w:cs="Calibri"/>
        </w:rPr>
      </w:pPr>
      <w:r w:rsidRPr="004E05BA">
        <w:rPr>
          <w:rFonts w:cs="Calibri"/>
          <w:b/>
          <w:bCs/>
        </w:rPr>
        <w:t>Contacts</w:t>
      </w:r>
      <w:r w:rsidRPr="004E05BA">
        <w:rPr>
          <w:rFonts w:cs="Calibri"/>
        </w:rPr>
        <w:t xml:space="preserve">: </w:t>
      </w:r>
    </w:p>
    <w:p w:rsidR="00B74EF5" w:rsidRPr="004E05BA" w:rsidRDefault="00B74EF5" w:rsidP="00B74EF5">
      <w:pPr>
        <w:ind w:right="-46"/>
        <w:jc w:val="both"/>
        <w:rPr>
          <w:rFonts w:cs="Calibri"/>
        </w:rPr>
      </w:pPr>
      <w:r w:rsidRPr="004E05BA">
        <w:rPr>
          <w:rFonts w:cs="Calibri"/>
        </w:rPr>
        <w:t xml:space="preserve">Project coordinator (Strasbourg): </w:t>
      </w:r>
      <w:r>
        <w:rPr>
          <w:rFonts w:cs="Calibri"/>
        </w:rPr>
        <w:t>Federica Viapiana</w:t>
      </w:r>
      <w:r w:rsidRPr="004E05BA">
        <w:rPr>
          <w:rFonts w:cs="Calibri"/>
        </w:rPr>
        <w:t xml:space="preserve"> (</w:t>
      </w:r>
      <w:hyperlink r:id="rId11" w:history="1">
        <w:r w:rsidRPr="000D6988">
          <w:rPr>
            <w:rStyle w:val="Hyperlink"/>
            <w:rFonts w:cs="Calibri"/>
          </w:rPr>
          <w:t>federica.viapiana@coe.int</w:t>
        </w:r>
      </w:hyperlink>
      <w:r w:rsidRPr="004E05BA">
        <w:rPr>
          <w:rFonts w:cs="Calibri"/>
        </w:rPr>
        <w:t>)</w:t>
      </w:r>
    </w:p>
    <w:p w:rsidR="00B74EF5" w:rsidRPr="004E05BA" w:rsidRDefault="00B74EF5" w:rsidP="00B74EF5">
      <w:pPr>
        <w:ind w:right="-46"/>
        <w:jc w:val="both"/>
        <w:rPr>
          <w:rFonts w:cs="Calibri"/>
        </w:rPr>
      </w:pPr>
      <w:r w:rsidRPr="004E05BA">
        <w:rPr>
          <w:rFonts w:cs="Calibri"/>
        </w:rPr>
        <w:t>Senior Project Officer (Sarajevo): Enes Šehić (</w:t>
      </w:r>
      <w:hyperlink r:id="rId12" w:history="1">
        <w:r w:rsidRPr="004E05BA">
          <w:rPr>
            <w:rStyle w:val="Hyperlink"/>
            <w:rFonts w:cs="Calibri"/>
          </w:rPr>
          <w:t>enes.sehic@coe.int</w:t>
        </w:r>
      </w:hyperlink>
      <w:r w:rsidRPr="004E05BA">
        <w:rPr>
          <w:rFonts w:cs="Calibri"/>
        </w:rPr>
        <w:t>)</w:t>
      </w:r>
    </w:p>
    <w:p w:rsidR="00B74EF5" w:rsidRDefault="00B74EF5" w:rsidP="00B74EF5">
      <w:r w:rsidRPr="004E05BA">
        <w:rPr>
          <w:rFonts w:cs="Calibri"/>
        </w:rPr>
        <w:t>Project Assistant (Sarajevo): Lejla Begović (</w:t>
      </w:r>
      <w:hyperlink r:id="rId13" w:history="1">
        <w:r w:rsidRPr="004E05BA">
          <w:rPr>
            <w:rStyle w:val="Hyperlink"/>
            <w:rFonts w:cs="Calibri"/>
          </w:rPr>
          <w:t>lejla.begovic@coe.int</w:t>
        </w:r>
      </w:hyperlink>
      <w:bookmarkStart w:id="1" w:name="_GoBack"/>
      <w:bookmarkEnd w:id="1"/>
      <w:r>
        <w:t>)</w:t>
      </w:r>
    </w:p>
    <w:p w:rsidR="00B74EF5" w:rsidRDefault="00B74EF5" w:rsidP="00B74EF5">
      <w:pPr>
        <w:ind w:right="-46"/>
        <w:jc w:val="both"/>
        <w:rPr>
          <w:rFonts w:cs="Calibri"/>
        </w:rPr>
      </w:pPr>
      <w:r w:rsidRPr="004E05BA">
        <w:rPr>
          <w:rFonts w:cs="Calibri"/>
          <w:b/>
          <w:bCs/>
        </w:rPr>
        <w:t>Web</w:t>
      </w:r>
      <w:r w:rsidRPr="004E05BA">
        <w:rPr>
          <w:rFonts w:cs="Calibri"/>
        </w:rPr>
        <w:t xml:space="preserve">: </w:t>
      </w:r>
    </w:p>
    <w:p w:rsidR="00B74EF5" w:rsidRDefault="00F71A99" w:rsidP="00B74EF5">
      <w:pPr>
        <w:ind w:right="-46"/>
        <w:jc w:val="both"/>
        <w:rPr>
          <w:rFonts w:cs="Calibri"/>
        </w:rPr>
      </w:pPr>
      <w:hyperlink r:id="rId14" w:history="1">
        <w:r w:rsidR="00B74EF5" w:rsidRPr="000D6988">
          <w:rPr>
            <w:rStyle w:val="Hyperlink"/>
            <w:rFonts w:cs="Calibri"/>
          </w:rPr>
          <w:t>https://www.coe.int/en/web/cepej/towards-a-better-evaluation-of-the-results-of-judicial-reforms-in-the-western-balkans-dashboard-western-balkans-</w:t>
        </w:r>
      </w:hyperlink>
    </w:p>
    <w:p w:rsidR="00B74EF5" w:rsidRDefault="00B74EF5" w:rsidP="00B74EF5">
      <w:r w:rsidRPr="00542BF2">
        <w:t>Relevant</w:t>
      </w:r>
      <w:r>
        <w:t xml:space="preserve"> data for </w:t>
      </w:r>
      <w:r w:rsidRPr="00542BF2">
        <w:t>DWB proje</w:t>
      </w:r>
      <w:r>
        <w:t>ct/reports for BiH is officially submitted by the HJPC BiH.</w:t>
      </w:r>
    </w:p>
    <w:p w:rsidR="00B74EF5" w:rsidRDefault="00B74EF5" w:rsidP="00B74EF5">
      <w:pPr>
        <w:ind w:right="-46"/>
        <w:jc w:val="both"/>
        <w:rPr>
          <w:rFonts w:cs="Calibri"/>
          <w:b/>
          <w:bCs/>
        </w:rPr>
      </w:pPr>
      <w:r>
        <w:rPr>
          <w:rFonts w:cs="Calibri"/>
          <w:b/>
          <w:bCs/>
        </w:rPr>
        <w:t>Action'</w:t>
      </w:r>
      <w:r w:rsidRPr="004E05BA">
        <w:rPr>
          <w:rFonts w:cs="Calibri"/>
          <w:b/>
          <w:bCs/>
        </w:rPr>
        <w:t xml:space="preserve">s objectives </w:t>
      </w:r>
    </w:p>
    <w:p w:rsidR="00B74EF5" w:rsidRPr="004E05BA" w:rsidRDefault="00B74EF5" w:rsidP="00B74EF5">
      <w:pPr>
        <w:ind w:right="-46"/>
        <w:jc w:val="both"/>
        <w:rPr>
          <w:rFonts w:cs="Calibri"/>
        </w:rPr>
      </w:pPr>
      <w:r w:rsidRPr="005730F4">
        <w:t>The overall objective</w:t>
      </w:r>
      <w:r>
        <w:t xml:space="preserve"> of this Action</w:t>
      </w:r>
      <w:r w:rsidRPr="005730F4">
        <w:t xml:space="preserve"> is to reach a better measurement of the results of the judicial reforms conducted by the beneficiaries (Albania, Bosnia and Herzegovina, Montenegro, North Macedonia, Serbia, and Kosovo*) to allow them to base their future policies and budget allocations on the CEPEJ findings to address outstanding steps needed to complete their reforms and improve the quality, efficiency and/or accountability of their justice system in line with European standards. </w:t>
      </w:r>
      <w:r w:rsidRPr="00BE56E4">
        <w:rPr>
          <w:rFonts w:cs="Calibri"/>
        </w:rPr>
        <w:t>The</w:t>
      </w:r>
      <w:r>
        <w:rPr>
          <w:rFonts w:cs="Calibri"/>
          <w:b/>
          <w:bCs/>
        </w:rPr>
        <w:t xml:space="preserve"> </w:t>
      </w:r>
      <w:r w:rsidRPr="005730F4">
        <w:t>Action will support the annual collection and processing of data on the functioning of the judicial systems of the beneficiaries and provide and implement tailor-made</w:t>
      </w:r>
      <w:r w:rsidRPr="00FC3E3F">
        <w:t xml:space="preserve"> </w:t>
      </w:r>
      <w:r w:rsidRPr="005730F4">
        <w:t>technical expertise and capacity building activities designed from the results of the data collection.</w:t>
      </w:r>
    </w:p>
    <w:p w:rsidR="00B74EF5" w:rsidRDefault="00B74EF5" w:rsidP="00B74EF5">
      <w:r w:rsidRPr="005730F4">
        <w:lastRenderedPageBreak/>
        <w:t>_____________________</w:t>
      </w:r>
      <w:r w:rsidRPr="005730F4">
        <w:br/>
        <w:t>* This designation is without prejudice to positions on status, and is in line with UNSCR 1244 and the ICJ Opinion on the Kosovo Declaration of Independence.</w:t>
      </w:r>
    </w:p>
    <w:p w:rsidR="00B74EF5" w:rsidRPr="00BE56E4" w:rsidRDefault="00B74EF5" w:rsidP="00B74EF5">
      <w:pPr>
        <w:ind w:right="-46"/>
        <w:jc w:val="both"/>
        <w:rPr>
          <w:rFonts w:cs="Calibri"/>
        </w:rPr>
      </w:pPr>
      <w:r w:rsidRPr="00BE56E4">
        <w:rPr>
          <w:rFonts w:cs="Calibri"/>
          <w:b/>
          <w:bCs/>
        </w:rPr>
        <w:t>Expected results</w:t>
      </w:r>
    </w:p>
    <w:p w:rsidR="00B74EF5" w:rsidRPr="00BE56E4" w:rsidRDefault="00B74EF5" w:rsidP="00B74EF5">
      <w:pPr>
        <w:numPr>
          <w:ilvl w:val="0"/>
          <w:numId w:val="1"/>
        </w:numPr>
        <w:ind w:right="-46"/>
        <w:jc w:val="both"/>
        <w:rPr>
          <w:rFonts w:cs="Calibri"/>
        </w:rPr>
      </w:pPr>
      <w:r w:rsidRPr="00BE56E4">
        <w:rPr>
          <w:rFonts w:cs="Calibri"/>
        </w:rPr>
        <w:t>Improved mechanisms of collection, processing and analysis of judicial data in accordance with CEPEJ standards and tools with the beneficiaries;</w:t>
      </w:r>
    </w:p>
    <w:p w:rsidR="00B74EF5" w:rsidRPr="00FC3E3F" w:rsidRDefault="00B74EF5" w:rsidP="00B74EF5">
      <w:pPr>
        <w:numPr>
          <w:ilvl w:val="0"/>
          <w:numId w:val="1"/>
        </w:numPr>
        <w:ind w:right="-46"/>
        <w:jc w:val="both"/>
        <w:rPr>
          <w:rFonts w:cs="Calibri"/>
        </w:rPr>
      </w:pPr>
      <w:r w:rsidRPr="00BE56E4">
        <w:rPr>
          <w:rFonts w:cs="Calibri"/>
        </w:rPr>
        <w:t>Strengthened capacity to identify the strengths and weaknesses of the judicial system and measure the results of the judicial reforms within the beneficiaries.</w:t>
      </w:r>
    </w:p>
    <w:p w:rsidR="00B74EF5" w:rsidRPr="004B2386" w:rsidRDefault="00B74EF5" w:rsidP="00B74EF5">
      <w:pPr>
        <w:ind w:right="-46"/>
        <w:jc w:val="both"/>
        <w:rPr>
          <w:rFonts w:cs="Calibri"/>
        </w:rPr>
      </w:pPr>
      <w:r w:rsidRPr="004B2386">
        <w:rPr>
          <w:rFonts w:cs="Calibri"/>
          <w:b/>
          <w:bCs/>
        </w:rPr>
        <w:t>LAST REPORT AVAILABLE: 2023 Data collection results</w:t>
      </w:r>
    </w:p>
    <w:p w:rsidR="00B74EF5" w:rsidRPr="004B2386" w:rsidRDefault="00B74EF5" w:rsidP="00B74EF5">
      <w:pPr>
        <w:ind w:right="-46"/>
        <w:jc w:val="both"/>
        <w:rPr>
          <w:rFonts w:cs="Calibri"/>
        </w:rPr>
      </w:pPr>
      <w:r w:rsidRPr="004B2386">
        <w:rPr>
          <w:rFonts w:cs="Calibri"/>
        </w:rPr>
        <w:t>Comparative tables and graphs explore the regional trends regarding some indicators related to efficiency and quality of the justice systems in the Western Balkans beneficiaries. These tables and graphs also include previous cycles’ data (2022-2019). Each of the 12 indicators is introduced by an overview of the main regional trends.</w:t>
      </w:r>
    </w:p>
    <w:p w:rsidR="00B74EF5" w:rsidRPr="004B2386" w:rsidRDefault="00B74EF5" w:rsidP="00B74EF5">
      <w:pPr>
        <w:ind w:right="-46"/>
        <w:jc w:val="both"/>
        <w:rPr>
          <w:rFonts w:cs="Calibri"/>
        </w:rPr>
      </w:pPr>
      <w:r w:rsidRPr="004B2386">
        <w:rPr>
          <w:rFonts w:cs="Calibri"/>
          <w:noProof/>
          <w:lang w:eastAsia="bs-Latn-BA"/>
        </w:rPr>
        <mc:AlternateContent>
          <mc:Choice Requires="wps">
            <w:drawing>
              <wp:inline distT="0" distB="0" distL="0" distR="0" wp14:anchorId="17DFFE91" wp14:editId="0735CC48">
                <wp:extent cx="152400" cy="152400"/>
                <wp:effectExtent l="0" t="0" r="0" b="0"/>
                <wp:docPr id="184947495"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01F814" id="Rectangle 10" o:spid="_x0000_s1026" style="width:1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" filled="f" stroked="f">
                <o:lock v:ext="edit" aspectratio="t"/>
                <w10:anchorlock/>
              </v:rect>
            </w:pict>
          </mc:Fallback>
        </mc:AlternateContent>
      </w:r>
      <w:r w:rsidRPr="004B2386">
        <w:rPr>
          <w:rFonts w:cs="Calibri"/>
        </w:rPr>
        <w:t> </w:t>
      </w:r>
      <w:hyperlink r:id="rId15" w:history="1">
        <w:r w:rsidRPr="004B2386">
          <w:rPr>
            <w:rStyle w:val="Hyperlink"/>
            <w:rFonts w:cs="Calibri"/>
            <w:b/>
            <w:bCs/>
          </w:rPr>
          <w:t>Part 1 – Comparative tables and graphs</w:t>
        </w:r>
      </w:hyperlink>
    </w:p>
    <w:p w:rsidR="00B74EF5" w:rsidRPr="004B2386" w:rsidRDefault="00B74EF5" w:rsidP="00B74EF5">
      <w:pPr>
        <w:ind w:right="-46"/>
        <w:jc w:val="both"/>
        <w:rPr>
          <w:rFonts w:cs="Calibri"/>
        </w:rPr>
      </w:pPr>
      <w:r w:rsidRPr="004B2386">
        <w:rPr>
          <w:rFonts w:cs="Calibri"/>
        </w:rPr>
        <w:t>Moreover, the CEPEJ prepared 6 “Beneficiary Profiles” to provide an in-depth user-friendly analysis of each beneficiary’s justice system. Infographics, tables, graphs, comparisons with previous cycles’ data as well as with the regional medians have been used. Narrative explanations have been added throughout the document to further facilitate the understanding of the presented data, as well as two-page executive summary. Each profile also includes specific analysis for certain indicators related to the independence and accountability of the judicial system.</w:t>
      </w:r>
    </w:p>
    <w:p w:rsidR="00B74EF5" w:rsidRPr="004B2386" w:rsidRDefault="00B74EF5" w:rsidP="00B74EF5">
      <w:pPr>
        <w:ind w:right="-46"/>
        <w:jc w:val="both"/>
        <w:rPr>
          <w:rFonts w:cs="Calibri"/>
        </w:rPr>
      </w:pPr>
      <w:r w:rsidRPr="004B2386">
        <w:rPr>
          <w:rFonts w:cs="Calibri"/>
          <w:noProof/>
          <w:lang w:eastAsia="bs-Latn-BA"/>
        </w:rPr>
        <mc:AlternateContent>
          <mc:Choice Requires="wps">
            <w:drawing>
              <wp:inline distT="0" distB="0" distL="0" distR="0" wp14:anchorId="35EAA433" wp14:editId="05A9FB4B">
                <wp:extent cx="152400" cy="152400"/>
                <wp:effectExtent l="0" t="0" r="0" b="0"/>
                <wp:docPr id="1599628305"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8D3842" id="Rectangle 9" o:spid="_x0000_s1026" style="width:1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" filled="f" stroked="f">
                <o:lock v:ext="edit" aspectratio="t"/>
                <w10:anchorlock/>
              </v:rect>
            </w:pict>
          </mc:Fallback>
        </mc:AlternateContent>
      </w:r>
      <w:r w:rsidRPr="004B2386">
        <w:rPr>
          <w:rFonts w:cs="Calibri"/>
        </w:rPr>
        <w:t> </w:t>
      </w:r>
      <w:r w:rsidRPr="004B2386">
        <w:rPr>
          <w:rFonts w:cs="Calibri"/>
          <w:b/>
          <w:bCs/>
        </w:rPr>
        <w:t>Part 2 - Beneficiaries profiles:</w:t>
      </w:r>
    </w:p>
    <w:p w:rsidR="00B74EF5" w:rsidRPr="004B2386" w:rsidRDefault="00B74EF5" w:rsidP="00B74EF5">
      <w:pPr>
        <w:numPr>
          <w:ilvl w:val="0"/>
          <w:numId w:val="2"/>
        </w:numPr>
        <w:ind w:right="-46"/>
        <w:jc w:val="both"/>
        <w:rPr>
          <w:rFonts w:cs="Calibri"/>
        </w:rPr>
      </w:pPr>
      <w:r w:rsidRPr="004B2386">
        <w:rPr>
          <w:rFonts w:cs="Calibri"/>
        </w:rPr>
        <w:t>   </w:t>
      </w:r>
      <w:hyperlink r:id="rId16" w:history="1">
        <w:r w:rsidRPr="004B2386">
          <w:rPr>
            <w:rStyle w:val="Hyperlink"/>
            <w:rFonts w:cs="Calibri"/>
          </w:rPr>
          <w:t>Albania</w:t>
        </w:r>
      </w:hyperlink>
    </w:p>
    <w:p w:rsidR="00B74EF5" w:rsidRPr="004B2386" w:rsidRDefault="00B74EF5" w:rsidP="00B74EF5">
      <w:pPr>
        <w:numPr>
          <w:ilvl w:val="0"/>
          <w:numId w:val="2"/>
        </w:numPr>
        <w:ind w:right="-46"/>
        <w:jc w:val="both"/>
        <w:rPr>
          <w:rFonts w:cs="Calibri"/>
        </w:rPr>
      </w:pPr>
      <w:r w:rsidRPr="004B2386">
        <w:rPr>
          <w:rFonts w:cs="Calibri"/>
        </w:rPr>
        <w:t>   </w:t>
      </w:r>
      <w:hyperlink r:id="rId17" w:history="1">
        <w:r w:rsidRPr="004B2386">
          <w:rPr>
            <w:rStyle w:val="Hyperlink"/>
            <w:rFonts w:cs="Calibri"/>
          </w:rPr>
          <w:t>Bosnia and Herzegovina</w:t>
        </w:r>
      </w:hyperlink>
    </w:p>
    <w:p w:rsidR="00B74EF5" w:rsidRPr="004B2386" w:rsidRDefault="00B74EF5" w:rsidP="00B74EF5">
      <w:pPr>
        <w:numPr>
          <w:ilvl w:val="0"/>
          <w:numId w:val="2"/>
        </w:numPr>
        <w:ind w:right="-46"/>
        <w:jc w:val="both"/>
        <w:rPr>
          <w:rFonts w:cs="Calibri"/>
        </w:rPr>
      </w:pPr>
      <w:r w:rsidRPr="004B2386">
        <w:rPr>
          <w:rFonts w:cs="Calibri"/>
        </w:rPr>
        <w:t>   </w:t>
      </w:r>
      <w:hyperlink r:id="rId18" w:history="1">
        <w:r w:rsidRPr="004B2386">
          <w:rPr>
            <w:rStyle w:val="Hyperlink"/>
            <w:rFonts w:cs="Calibri"/>
          </w:rPr>
          <w:t>Montenegro</w:t>
        </w:r>
      </w:hyperlink>
    </w:p>
    <w:p w:rsidR="00B74EF5" w:rsidRPr="004B2386" w:rsidRDefault="00B74EF5" w:rsidP="00B74EF5">
      <w:pPr>
        <w:numPr>
          <w:ilvl w:val="0"/>
          <w:numId w:val="2"/>
        </w:numPr>
        <w:ind w:right="-46"/>
        <w:jc w:val="both"/>
        <w:rPr>
          <w:rFonts w:cs="Calibri"/>
        </w:rPr>
      </w:pPr>
      <w:r w:rsidRPr="004B2386">
        <w:rPr>
          <w:rFonts w:cs="Calibri"/>
        </w:rPr>
        <w:t>   </w:t>
      </w:r>
      <w:hyperlink r:id="rId19" w:history="1">
        <w:r w:rsidRPr="004B2386">
          <w:rPr>
            <w:rStyle w:val="Hyperlink"/>
            <w:rFonts w:cs="Calibri"/>
          </w:rPr>
          <w:t>North Macedonia</w:t>
        </w:r>
      </w:hyperlink>
    </w:p>
    <w:p w:rsidR="00B74EF5" w:rsidRPr="004B2386" w:rsidRDefault="00B74EF5" w:rsidP="00B74EF5">
      <w:pPr>
        <w:numPr>
          <w:ilvl w:val="0"/>
          <w:numId w:val="2"/>
        </w:numPr>
        <w:ind w:right="-46"/>
        <w:jc w:val="both"/>
        <w:rPr>
          <w:rFonts w:cs="Calibri"/>
        </w:rPr>
      </w:pPr>
      <w:r w:rsidRPr="004B2386">
        <w:rPr>
          <w:rFonts w:cs="Calibri"/>
        </w:rPr>
        <w:t>   </w:t>
      </w:r>
      <w:hyperlink r:id="rId20" w:history="1">
        <w:r w:rsidRPr="004B2386">
          <w:rPr>
            <w:rStyle w:val="Hyperlink"/>
            <w:rFonts w:cs="Calibri"/>
          </w:rPr>
          <w:t>Serbia</w:t>
        </w:r>
      </w:hyperlink>
    </w:p>
    <w:p w:rsidR="00B74EF5" w:rsidRPr="004B2386" w:rsidRDefault="00B74EF5" w:rsidP="00B74EF5">
      <w:pPr>
        <w:numPr>
          <w:ilvl w:val="0"/>
          <w:numId w:val="2"/>
        </w:numPr>
        <w:ind w:right="-46"/>
        <w:jc w:val="both"/>
        <w:rPr>
          <w:rFonts w:cs="Calibri"/>
        </w:rPr>
      </w:pPr>
      <w:r w:rsidRPr="004B2386">
        <w:rPr>
          <w:rFonts w:cs="Calibri"/>
        </w:rPr>
        <w:t>   </w:t>
      </w:r>
      <w:hyperlink r:id="rId21" w:history="1">
        <w:r w:rsidRPr="004B2386">
          <w:rPr>
            <w:rStyle w:val="Hyperlink"/>
            <w:rFonts w:cs="Calibri"/>
          </w:rPr>
          <w:t>Kosovo*</w:t>
        </w:r>
      </w:hyperlink>
    </w:p>
    <w:p w:rsidR="00B74EF5" w:rsidRPr="004B2386" w:rsidRDefault="00B74EF5" w:rsidP="00B74EF5">
      <w:pPr>
        <w:ind w:right="-46"/>
        <w:jc w:val="both"/>
        <w:rPr>
          <w:rFonts w:cs="Calibri"/>
        </w:rPr>
      </w:pPr>
      <w:r w:rsidRPr="004B2386">
        <w:rPr>
          <w:rFonts w:cs="Calibri"/>
        </w:rPr>
        <w:t>Two documents to show the results of the data collection for 2023 were delivered to European Commission in the framework of the Dashboard Western Balkans Action.</w:t>
      </w:r>
    </w:p>
    <w:p w:rsidR="00B74EF5" w:rsidRPr="004B2386" w:rsidRDefault="00B74EF5" w:rsidP="00B74EF5">
      <w:pPr>
        <w:ind w:right="-46"/>
        <w:jc w:val="both"/>
        <w:rPr>
          <w:rFonts w:cs="Calibri"/>
        </w:rPr>
      </w:pPr>
      <w:r w:rsidRPr="004B2386">
        <w:rPr>
          <w:rFonts w:cs="Calibri"/>
        </w:rPr>
        <w:t> </w:t>
      </w:r>
      <w:r w:rsidRPr="004B2386">
        <w:rPr>
          <w:rFonts w:cs="Calibri"/>
          <w:noProof/>
          <w:lang w:eastAsia="bs-Latn-BA"/>
        </w:rPr>
        <mc:AlternateContent>
          <mc:Choice Requires="wps">
            <w:drawing>
              <wp:inline distT="0" distB="0" distL="0" distR="0" wp14:anchorId="651A19A7" wp14:editId="3556F85B">
                <wp:extent cx="152400" cy="152400"/>
                <wp:effectExtent l="0" t="0" r="0" b="0"/>
                <wp:docPr id="2007037142"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90840A" id="Rectangle 8" o:spid="_x0000_s1026" style="width:1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" filled="f" stroked="f">
                <o:lock v:ext="edit" aspectratio="t"/>
                <w10:anchorlock/>
              </v:rect>
            </w:pict>
          </mc:Fallback>
        </mc:AlternateContent>
      </w:r>
      <w:r w:rsidRPr="004B2386">
        <w:rPr>
          <w:rFonts w:cs="Calibri"/>
        </w:rPr>
        <w:t> </w:t>
      </w:r>
      <w:hyperlink r:id="rId22" w:history="1">
        <w:r w:rsidRPr="004B2386">
          <w:rPr>
            <w:rStyle w:val="Hyperlink"/>
            <w:rFonts w:cs="Calibri"/>
          </w:rPr>
          <w:t>Dashboard Western Balkans Questionnaire (2023 Data)</w:t>
        </w:r>
      </w:hyperlink>
    </w:p>
    <w:p w:rsidR="00B74EF5" w:rsidRPr="004B2386" w:rsidRDefault="00B74EF5" w:rsidP="00B74EF5">
      <w:pPr>
        <w:ind w:right="-46"/>
        <w:jc w:val="both"/>
        <w:rPr>
          <w:rFonts w:cs="Calibri"/>
        </w:rPr>
      </w:pPr>
      <w:r w:rsidRPr="004B2386">
        <w:rPr>
          <w:rFonts w:cs="Calibri"/>
          <w:noProof/>
          <w:lang w:eastAsia="bs-Latn-BA"/>
        </w:rPr>
        <w:lastRenderedPageBreak/>
        <mc:AlternateContent>
          <mc:Choice Requires="wps">
            <w:drawing>
              <wp:inline distT="0" distB="0" distL="0" distR="0" wp14:anchorId="648288FB" wp14:editId="7ECE01C9">
                <wp:extent cx="152400" cy="152400"/>
                <wp:effectExtent l="0" t="0" r="0" b="0"/>
                <wp:docPr id="762057446"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7544E4" id="Rectangle 7" o:spid="_x0000_s1026" style="width:12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" filled="f" stroked="f">
                <o:lock v:ext="edit" aspectratio="t"/>
                <w10:anchorlock/>
              </v:rect>
            </w:pict>
          </mc:Fallback>
        </mc:AlternateContent>
      </w:r>
      <w:r w:rsidRPr="004B2386">
        <w:rPr>
          <w:rFonts w:cs="Calibri"/>
        </w:rPr>
        <w:t>  </w:t>
      </w:r>
      <w:hyperlink r:id="rId23" w:history="1">
        <w:r w:rsidRPr="004B2386">
          <w:rPr>
            <w:rStyle w:val="Hyperlink"/>
            <w:rFonts w:cs="Calibri"/>
          </w:rPr>
          <w:t>Dashboard Western Balkans Explanatory Note (2023 Data)</w:t>
        </w:r>
      </w:hyperlink>
    </w:p>
    <w:p w:rsidR="00B74EF5" w:rsidRPr="004B2386" w:rsidRDefault="00B74EF5" w:rsidP="00B74EF5">
      <w:pPr>
        <w:ind w:right="-46"/>
        <w:jc w:val="both"/>
        <w:rPr>
          <w:rFonts w:cs="Calibri"/>
        </w:rPr>
      </w:pPr>
      <w:r w:rsidRPr="004B2386">
        <w:rPr>
          <w:rFonts w:cs="Calibri"/>
          <w:noProof/>
          <w:lang w:eastAsia="bs-Latn-BA"/>
        </w:rPr>
        <mc:AlternateContent>
          <mc:Choice Requires="wps">
            <w:drawing>
              <wp:inline distT="0" distB="0" distL="0" distR="0" wp14:anchorId="40277ED8" wp14:editId="463A0401">
                <wp:extent cx="238125" cy="238125"/>
                <wp:effectExtent l="0" t="0" r="0" b="0"/>
                <wp:docPr id="1561597063"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812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164880" id="Rectangle 6" o:spid="_x0000_s1026" style="width:18.7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" filled="f" stroked="f">
                <o:lock v:ext="edit" aspectratio="t"/>
                <w10:anchorlock/>
              </v:rect>
            </w:pict>
          </mc:Fallback>
        </mc:AlternateContent>
      </w:r>
      <w:r w:rsidRPr="004B2386">
        <w:rPr>
          <w:rFonts w:cs="Calibri"/>
          <w:b/>
          <w:bCs/>
        </w:rPr>
        <w:t> </w:t>
      </w:r>
      <w:hyperlink r:id="rId24" w:history="1">
        <w:r w:rsidRPr="004B2386">
          <w:rPr>
            <w:rStyle w:val="Hyperlink"/>
            <w:rFonts w:cs="Calibri"/>
            <w:b/>
            <w:bCs/>
          </w:rPr>
          <w:t>Link to the previous data collection cycles</w:t>
        </w:r>
      </w:hyperlink>
    </w:p>
    <w:bookmarkEnd w:id="0"/>
    <w:p w:rsidR="00B74EF5" w:rsidRPr="00BE56E4" w:rsidRDefault="00B74EF5" w:rsidP="00B74EF5">
      <w:pPr>
        <w:ind w:right="-46"/>
        <w:jc w:val="both"/>
        <w:rPr>
          <w:rFonts w:cs="Calibri"/>
        </w:rPr>
      </w:pPr>
    </w:p>
    <w:p w:rsidR="002D4E71" w:rsidRDefault="002D4E71"/>
    <w:sectPr w:rsidR="002D4E71">
      <w:headerReference w:type="even" r:id="rId25"/>
      <w:headerReference w:type="default" r:id="rId26"/>
      <w:footerReference w:type="even" r:id="rId27"/>
      <w:footerReference w:type="default" r:id="rId28"/>
      <w:headerReference w:type="first" r:id="rId29"/>
      <w:footerReference w:type="first" r:id="rId3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A99" w:rsidRDefault="00F71A99" w:rsidP="00B74EF5">
      <w:pPr>
        <w:spacing w:after="0" w:line="240" w:lineRule="auto"/>
      </w:pPr>
      <w:r>
        <w:separator/>
      </w:r>
    </w:p>
  </w:endnote>
  <w:endnote w:type="continuationSeparator" w:id="0">
    <w:p w:rsidR="00F71A99" w:rsidRDefault="00F71A99" w:rsidP="00B74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EF5" w:rsidRDefault="00B74E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EF5" w:rsidRDefault="00B74E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EF5" w:rsidRDefault="00B74E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A99" w:rsidRDefault="00F71A99" w:rsidP="00B74EF5">
      <w:pPr>
        <w:spacing w:after="0" w:line="240" w:lineRule="auto"/>
      </w:pPr>
      <w:r>
        <w:separator/>
      </w:r>
    </w:p>
  </w:footnote>
  <w:footnote w:type="continuationSeparator" w:id="0">
    <w:p w:rsidR="00F71A99" w:rsidRDefault="00F71A99" w:rsidP="00B74E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EF5" w:rsidRPr="00381F06" w:rsidRDefault="00381F06" w:rsidP="00381F06">
    <w:pPr>
      <w:pStyle w:val="Header"/>
      <w:jc w:val="right"/>
    </w:pPr>
    <w:fldSimple w:instr=" DOCPROPERTY bjHeaderEvenPageDocProperty \* MERGEFORMAT " w:fldLock="1">
      <w:r w:rsidRPr="003B159F">
        <w:rPr>
          <w:rFonts w:ascii="Arial" w:hAnsi="Arial" w:cs="Arial"/>
          <w:b/>
          <w:bCs/>
          <w:color w:val="000000"/>
          <w:lang w:val="en-US"/>
        </w:rPr>
        <w:t>JAVNO</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EF5" w:rsidRPr="00381F06" w:rsidRDefault="00381F06" w:rsidP="00381F06">
    <w:pPr>
      <w:pStyle w:val="Header"/>
      <w:jc w:val="right"/>
    </w:pPr>
    <w:fldSimple w:instr=" DOCPROPERTY bjHeaderBothDocProperty \* MERGEFORMAT " w:fldLock="1">
      <w:r w:rsidRPr="003B159F">
        <w:rPr>
          <w:rFonts w:ascii="Arial" w:hAnsi="Arial" w:cs="Arial"/>
          <w:b/>
          <w:bCs/>
          <w:color w:val="000000"/>
          <w:lang w:val="en-US"/>
        </w:rPr>
        <w:t>JAVNO</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EF5" w:rsidRPr="00381F06" w:rsidRDefault="00381F06" w:rsidP="00381F06">
    <w:pPr>
      <w:pStyle w:val="Header"/>
      <w:jc w:val="right"/>
    </w:pPr>
    <w:r>
      <w:rPr>
        <w:lang w:eastAsia="bs-Latn-BA"/>
      </w:rPr>
      <w:fldChar w:fldCharType="begin" w:fldLock="1"/>
    </w:r>
    <w:r>
      <w:rPr>
        <w:lang w:eastAsia="bs-Latn-BA"/>
      </w:rPr>
      <w:instrText xml:space="preserve"> DOCPROPERTY bjHeaderFirstPageDocProperty \* MERGEFORMAT </w:instrText>
    </w:r>
    <w:r>
      <w:rPr>
        <w:lang w:eastAsia="bs-Latn-BA"/>
      </w:rPr>
      <w:fldChar w:fldCharType="separate"/>
    </w:r>
    <w:r w:rsidRPr="003B159F">
      <w:rPr>
        <w:rFonts w:ascii="Arial" w:hAnsi="Arial" w:cs="Arial"/>
        <w:b/>
        <w:bCs/>
        <w:color w:val="000000"/>
        <w:lang w:val="en-US" w:eastAsia="bs-Latn-BA"/>
      </w:rPr>
      <w:t>JAVNO</w:t>
    </w:r>
    <w:r>
      <w:rPr>
        <w:lang w:eastAsia="bs-Latn-B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810B4"/>
    <w:multiLevelType w:val="multilevel"/>
    <w:tmpl w:val="FDE8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AB2A82"/>
    <w:multiLevelType w:val="multilevel"/>
    <w:tmpl w:val="E186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EF5"/>
    <w:rsid w:val="002D4E71"/>
    <w:rsid w:val="00381F06"/>
    <w:rsid w:val="006C1E84"/>
    <w:rsid w:val="007E06DD"/>
    <w:rsid w:val="00B74EF5"/>
    <w:rsid w:val="00F71A99"/>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F80C1E"/>
  <w15:chartTrackingRefBased/>
  <w15:docId w15:val="{18DB2964-FD8B-4775-AE9C-4F71B2D2E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4EF5"/>
    <w:pPr>
      <w:spacing w:line="278"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4EF5"/>
    <w:rPr>
      <w:color w:val="0563C1" w:themeColor="hyperlink"/>
      <w:u w:val="single"/>
    </w:rPr>
  </w:style>
  <w:style w:type="paragraph" w:styleId="Header">
    <w:name w:val="header"/>
    <w:basedOn w:val="Normal"/>
    <w:link w:val="HeaderChar"/>
    <w:uiPriority w:val="99"/>
    <w:unhideWhenUsed/>
    <w:rsid w:val="00B74E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4EF5"/>
    <w:rPr>
      <w:kern w:val="2"/>
      <w:sz w:val="24"/>
      <w:szCs w:val="24"/>
      <w14:ligatures w14:val="standardContextual"/>
    </w:rPr>
  </w:style>
  <w:style w:type="paragraph" w:styleId="Footer">
    <w:name w:val="footer"/>
    <w:basedOn w:val="Normal"/>
    <w:link w:val="FooterChar"/>
    <w:uiPriority w:val="99"/>
    <w:unhideWhenUsed/>
    <w:rsid w:val="00B74E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4EF5"/>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lejla.begovic@coe.int" TargetMode="External"/><Relationship Id="rId18" Type="http://schemas.openxmlformats.org/officeDocument/2006/relationships/hyperlink" Target="https://rm.coe.int/montenegro-deliverable-2/1680b2722f"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rm.coe.int/kosovo-deliverable-2/1680b272bc" TargetMode="External"/><Relationship Id="rId7" Type="http://schemas.openxmlformats.org/officeDocument/2006/relationships/webSettings" Target="webSettings.xml"/><Relationship Id="rId12" Type="http://schemas.openxmlformats.org/officeDocument/2006/relationships/hyperlink" Target="mailto:enes.sehic@coe.int" TargetMode="External"/><Relationship Id="rId17" Type="http://schemas.openxmlformats.org/officeDocument/2006/relationships/hyperlink" Target="https://rm.coe.int/bosnia-and-herzegovina-deliverable-2/1680b2722c"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rm.coe.int/albania-deliverable-2/1680b2722b" TargetMode="External"/><Relationship Id="rId20" Type="http://schemas.openxmlformats.org/officeDocument/2006/relationships/hyperlink" Target="https://rm.coe.int/serbia-deliverable-2/1680b272bd"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federica.viapiana@coe.int" TargetMode="External"/><Relationship Id="rId24" Type="http://schemas.openxmlformats.org/officeDocument/2006/relationships/hyperlink" Target="https://www.coe.int/en/web/cepej/previous-cycles"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rm.coe.int/20240709-wb-dashboard-deliverable-1/1680b27208" TargetMode="External"/><Relationship Id="rId23" Type="http://schemas.openxmlformats.org/officeDocument/2006/relationships/hyperlink" Target="https://rm.coe.int/dashboard-western-balkans-explanatory-note-2023-20231114/1680ad53ad" TargetMode="External"/><Relationship Id="rId28" Type="http://schemas.openxmlformats.org/officeDocument/2006/relationships/footer" Target="footer2.xml"/><Relationship Id="rId10" Type="http://schemas.openxmlformats.org/officeDocument/2006/relationships/hyperlink" Target="https://pjp-eu.coe.int/en/web/horizontal-facility" TargetMode="External"/><Relationship Id="rId19" Type="http://schemas.openxmlformats.org/officeDocument/2006/relationships/hyperlink" Target="https://rm.coe.int/north-macedonia-deliverable-2/1680b27230"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e.int/en/web/cepej/towards-a-better-evaluation-of-the-results-of-judicial-reforms-in-the-western-balkans-dashboard-western-balkans-" TargetMode="External"/><Relationship Id="rId22" Type="http://schemas.openxmlformats.org/officeDocument/2006/relationships/hyperlink" Target="https://rm.coe.int/dashboard-western-balkans-questionnaire-2023-20231010-rev1/1680ad53ae"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ezdFOURFNEY1LTU1RTktNDIwQy1BQjA3LTU5MEYxRkQxNkU4MX08L2lkPjxWYWxpZD50cnVlPC9WYWxpZD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PC9zaXNsPjxVc2VyTmFtZT5QUkFWT1NVREpFXERhbGlsYS5IYWR6aWM8L1VzZXJOYW1lPjxEYXRlVGltZT4xOS4gOS4gMjAyNS4gMDk6NDg6MTA8L0RhdGVUaW1lPjxMYWJlbFN0cmluZz5KQVZOTzwvTGFiZWxTdHJpbmc+PC9pdGVtPjwvbGFiZWxIaXN0b3J5Pg==</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JILuHnxSdVwWgRb/afwLDHoh5dZdMJp/qR/KN6Y6kMU=</DigestValue>
      </Reference>
      <Reference URI="#CLASSIFICATIONHISTORY">
        <DigestMethod Algorithm="http://www.w3.org/2001/04/xmlenc#sha256"/>
        <DigestValue>b6Ekb1mK0gq+b7zcQAhZW65v0gDZygYYJZWYnn08GVI=</DigestValue>
      </Reference>
    </SignedInfo>
    <SignatureValue>UIQLjAEYx1JdIVoO/S5VDMviOLRsutPP5BuyZ5JHiAADzHsScD0BDraaJlpsn+UeSEYJtSDrP9qeGa8QOEC/7g==</SignatureValue>
    <Object Id="CLASSIFICATIONHISTORY">
      <ArrayOfString xmlns:xsi="http://www.w3.org/2001/XMLSchema-instance" xmlns:xsd="http://www.w3.org/2001/XMLSchema" xmlns="">
        <string>WN7YyK9CxCUd6WQAnpbroCtPshLgS41a</string>
      </ArrayOfString>
    </Object>
  </Signature>
</WrappedLabelHistory>
</file>

<file path=customXml/item2.xml><?xml version="1.0" encoding="utf-8"?>
<sisl xmlns:xsi="http://www.w3.org/2001/XMLSchema-instance" xmlns:xsd="http://www.w3.org/2001/XMLSchema" xmlns="http://www.boldonjames.com/2008/01/sie/internal/label" sislVersion="0" policy="691d7c78-6587-40ed-afe8-4127b3a216e7" origin="userSelected">
  <element uid="id_classification_nonbusiness" value=""/>
</sisl>
</file>

<file path=customXml/item3.xml><?xml version="1.0" encoding="utf-8"?>
<WrappedLabelInfo xmlns:xsi="http://www.w3.org/2001/XMLSchema-instance" xmlns:xsd="http://www.w3.org/2001/XMLSchema" xmlns="http://www.boldonjames.com/2016/02/Classifier/internal/wrappedLabelInfo">
  <Value>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PGVsaD5MeFBMOGZSQlVwSG82MEMvVThpcHJ4N2Ntb2FHd2MrczwvZWxoPjxjb25maWc+VlNUViBjbGFzc2lmaWNhdGlvbjwvY29uZmlnPjxwb2w+VlNUViBwb2xpY3k8L3BvbD48c3VtbWFyeT5QVUJMSU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4ZXUZPhZPUKuJH7Z1IIbPWhUeqihNqFXCAj88HwExko=</DigestValue>
      </Reference>
      <Reference URI="#INFO">
        <DigestMethod Algorithm="http://www.w3.org/2001/04/xmlenc#sha256"/>
        <DigestValue>0LHGWGCwDkoLpCg89u7zp94FWSSNTmeL3uy95ZktdOU=</DigestValue>
      </Reference>
    </SignedInfo>
    <SignatureValue>FBR0eyAX82ih3xNyXluJEXx/2E27W2n9q2hjlsRDIh2aa1qQzc1/KK1ZfP8MhpBgYFsa/sQsFqciZ0GqMrEbTg==</SignatureValue>
    <Object Id="INFO">
      <ArrayOfString xmlns:xsi="http://www.w3.org/2001/XMLSchema-instance" xmlns:xsd="http://www.w3.org/2001/XMLSchema" xmlns="">
        <string>LxPL8fRBUpHo60C/U8iprx7cmoaGwc+s</string>
      </ArrayOfString>
    </Object>
  </Signature>
</WrappedLabelInfo>
</file>

<file path=customXml/itemProps1.xml><?xml version="1.0" encoding="utf-8"?>
<ds:datastoreItem xmlns:ds="http://schemas.openxmlformats.org/officeDocument/2006/customXml" ds:itemID="{7E9DE4F5-55E9-420C-AB07-590F1FD16E81}">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58B5CE24-AFF0-4216-8CF7-78632B9704AE}">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C383D634-A7E2-47C5-BBB1-F76103A366A4}">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592</Words>
  <Characters>3600</Characters>
  <Application>Microsoft Office Word</Application>
  <DocSecurity>0</DocSecurity>
  <Lines>64</Lines>
  <Paragraphs>33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Dalila Hadzic</dc:creator>
  <cp:keywords/>
  <dc:description/>
  <cp:lastModifiedBy>Dalila Hadzic</cp:lastModifiedBy>
  <cp:revision>3</cp:revision>
  <dcterms:created xsi:type="dcterms:W3CDTF">2025-09-19T09:47:00Z</dcterms:created>
  <dcterms:modified xsi:type="dcterms:W3CDTF">2025-09-19T11:27:00Z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dc5acc73-68ef-4265-972a-a1a9a6c7a437</vt:lpwstr>
  </property>
  <property fmtid="{D5CDD505-2E9C-101B-9397-08002B2CF9AE}" pid="3" name="bjClsUserRVM">
    <vt:lpwstr>[]</vt:lpwstr>
  </property>
  <property fmtid="{D5CDD505-2E9C-101B-9397-08002B2CF9AE}" pid="4" name="bjSaver">
    <vt:lpwstr>MfAY2ud4zQ/M0reDCO2PWNow0P3zQ3R0</vt:lpwstr>
  </property>
  <property fmtid="{D5CDD505-2E9C-101B-9397-08002B2CF9AE}" pid="5" name="bjDocumentLabelXML">
    <vt:lpwstr>&lt;?xml version="1.0" encoding="us-ascii"?&gt;&lt;sisl xmlns:xsi="http://www.w3.org/2001/XMLSchema-instance" xmlns:xsd="http://www.w3.org/2001/XMLSchema" sislVersion="0" policy="691d7c78-6587-40ed-afe8-4127b3a216e7" origin="userSelected" xmlns="http://www.boldonj</vt:lpwstr>
  </property>
  <property fmtid="{D5CDD505-2E9C-101B-9397-08002B2CF9AE}" pid="6" name="bjDocumentLabelXML-0">
    <vt:lpwstr>ames.com/2008/01/sie/internal/label"&gt;&lt;element uid="id_classification_nonbusiness" value="" /&gt;&lt;/sisl&gt;</vt:lpwstr>
  </property>
  <property fmtid="{D5CDD505-2E9C-101B-9397-08002B2CF9AE}" pid="7" name="bjDocumentSecurityLabel">
    <vt:lpwstr>JAVNO</vt:lpwstr>
  </property>
  <property fmtid="{D5CDD505-2E9C-101B-9397-08002B2CF9AE}" pid="8" name="bjHeaderBothDocProperty">
    <vt:lpwstr>JAVNO</vt:lpwstr>
  </property>
  <property fmtid="{D5CDD505-2E9C-101B-9397-08002B2CF9AE}" pid="9" name="bjHeaderFirstPageDocProperty">
    <vt:lpwstr>JAVNO</vt:lpwstr>
  </property>
  <property fmtid="{D5CDD505-2E9C-101B-9397-08002B2CF9AE}" pid="10" name="bjHeaderEvenPageDocProperty">
    <vt:lpwstr>JAVNO</vt:lpwstr>
  </property>
  <property fmtid="{D5CDD505-2E9C-101B-9397-08002B2CF9AE}" pid="11" name="bjpmDocIH">
    <vt:lpwstr>D/E49GRMBovewe2xLV2r4G14jUqqslyJ</vt:lpwstr>
  </property>
  <property fmtid="{D5CDD505-2E9C-101B-9397-08002B2CF9AE}" pid="12" name="bjLabelHistoryID">
    <vt:lpwstr>{7E9DE4F5-55E9-420C-AB07-590F1FD16E81}</vt:lpwstr>
  </property>
</Properties>
</file>