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D5F" w:rsidRPr="005B7FC6" w:rsidRDefault="00407D5F">
      <w:pPr>
        <w:tabs>
          <w:tab w:val="center" w:pos="4680"/>
          <w:tab w:val="right" w:pos="9360"/>
          <w:tab w:val="right" w:pos="9638"/>
        </w:tabs>
        <w:spacing w:line="240" w:lineRule="auto"/>
        <w:jc w:val="center"/>
        <w:rPr>
          <w:lang w:val="hr-HR"/>
        </w:rPr>
      </w:pPr>
    </w:p>
    <w:p w:rsidR="00407D5F" w:rsidRPr="005B7FC6" w:rsidRDefault="00D552D7" w:rsidP="005B7FC6">
      <w:pPr>
        <w:tabs>
          <w:tab w:val="center" w:pos="4680"/>
          <w:tab w:val="right" w:pos="9360"/>
          <w:tab w:val="right" w:pos="9638"/>
        </w:tabs>
        <w:jc w:val="center"/>
        <w:rPr>
          <w:rFonts w:ascii="Avenir" w:eastAsia="Avenir" w:hAnsi="Avenir" w:cs="Avenir"/>
          <w:b/>
          <w:color w:val="12506D"/>
          <w:sz w:val="32"/>
          <w:szCs w:val="32"/>
          <w:lang w:val="hr-HR"/>
        </w:rPr>
      </w:pPr>
      <w:r w:rsidRPr="005B7FC6">
        <w:rPr>
          <w:rFonts w:ascii="Avenir" w:eastAsia="Avenir" w:hAnsi="Avenir" w:cs="Avenir"/>
          <w:b/>
          <w:color w:val="12506D"/>
          <w:sz w:val="32"/>
          <w:szCs w:val="32"/>
          <w:lang w:val="hr-HR"/>
        </w:rPr>
        <w:t xml:space="preserve">Priručnik “Postupanje u slučajevima </w:t>
      </w:r>
      <w:proofErr w:type="spellStart"/>
      <w:r w:rsidRPr="005B7FC6">
        <w:rPr>
          <w:rFonts w:ascii="Avenir" w:eastAsia="Avenir" w:hAnsi="Avenir" w:cs="Avenir"/>
          <w:b/>
          <w:color w:val="12506D"/>
          <w:sz w:val="32"/>
          <w:szCs w:val="32"/>
          <w:lang w:val="hr-HR"/>
        </w:rPr>
        <w:t>femicida</w:t>
      </w:r>
      <w:proofErr w:type="spellEnd"/>
      <w:r w:rsidRPr="005B7FC6">
        <w:rPr>
          <w:rFonts w:ascii="Avenir" w:eastAsia="Avenir" w:hAnsi="Avenir" w:cs="Avenir"/>
          <w:b/>
          <w:color w:val="12506D"/>
          <w:sz w:val="32"/>
          <w:szCs w:val="32"/>
          <w:lang w:val="hr-HR"/>
        </w:rPr>
        <w:t>” predstavljen u Bihaću</w:t>
      </w:r>
    </w:p>
    <w:p w:rsidR="00407D5F" w:rsidRPr="005B7FC6" w:rsidRDefault="00D552D7">
      <w:pPr>
        <w:tabs>
          <w:tab w:val="center" w:pos="4680"/>
          <w:tab w:val="right" w:pos="9360"/>
          <w:tab w:val="right" w:pos="9638"/>
        </w:tabs>
        <w:spacing w:before="240" w:after="240" w:line="240" w:lineRule="auto"/>
        <w:jc w:val="both"/>
        <w:rPr>
          <w:rFonts w:ascii="Avenir" w:eastAsia="Avenir" w:hAnsi="Avenir" w:cs="Avenir"/>
          <w:sz w:val="24"/>
          <w:szCs w:val="24"/>
          <w:lang w:val="hr-HR"/>
        </w:rPr>
      </w:pPr>
      <w:r w:rsidRPr="005B7FC6">
        <w:rPr>
          <w:rFonts w:ascii="Avenir" w:eastAsia="Avenir" w:hAnsi="Avenir" w:cs="Avenir"/>
          <w:sz w:val="24"/>
          <w:szCs w:val="24"/>
          <w:lang w:val="hr-HR"/>
        </w:rPr>
        <w:t>(10. septembar 2024. godine, Bihać) Danas su predstavnici AIRE centra u Bihaću pred</w:t>
      </w:r>
      <w:r w:rsidR="005B7FC6" w:rsidRPr="005B7FC6">
        <w:rPr>
          <w:rFonts w:ascii="Avenir" w:eastAsia="Avenir" w:hAnsi="Avenir" w:cs="Avenir"/>
          <w:sz w:val="24"/>
          <w:szCs w:val="24"/>
          <w:lang w:val="hr-HR"/>
        </w:rPr>
        <w:t xml:space="preserve">stavili priručnik za pravosuđe </w:t>
      </w:r>
      <w:r w:rsidR="005B7FC6">
        <w:rPr>
          <w:rFonts w:ascii="Avenir" w:eastAsia="Avenir" w:hAnsi="Avenir" w:cs="Avenir"/>
          <w:sz w:val="24"/>
          <w:szCs w:val="24"/>
          <w:lang w:val="hr-HR"/>
        </w:rPr>
        <w:t>„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>Po</w:t>
      </w:r>
      <w:r w:rsidR="005B7FC6">
        <w:rPr>
          <w:rFonts w:ascii="Avenir" w:eastAsia="Avenir" w:hAnsi="Avenir" w:cs="Avenir"/>
          <w:sz w:val="24"/>
          <w:szCs w:val="24"/>
          <w:lang w:val="hr-HR"/>
        </w:rPr>
        <w:t xml:space="preserve">stupanje u slučajevima </w:t>
      </w:r>
      <w:proofErr w:type="spellStart"/>
      <w:r w:rsidR="005B7FC6">
        <w:rPr>
          <w:rFonts w:ascii="Avenir" w:eastAsia="Avenir" w:hAnsi="Avenir" w:cs="Avenir"/>
          <w:sz w:val="24"/>
          <w:szCs w:val="24"/>
          <w:lang w:val="hr-HR"/>
        </w:rPr>
        <w:t>femicida</w:t>
      </w:r>
      <w:proofErr w:type="spellEnd"/>
      <w:r w:rsidR="005B7FC6">
        <w:rPr>
          <w:rFonts w:ascii="Avenir" w:eastAsia="Avenir" w:hAnsi="Avenir" w:cs="Avenir"/>
          <w:sz w:val="24"/>
          <w:szCs w:val="24"/>
          <w:lang w:val="hr-HR"/>
        </w:rPr>
        <w:t>“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sudijama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i sutkinjama Kantonalnog suda u Bihaću, Kantonalnog suda u Livnu, Os</w:t>
      </w:r>
      <w:bookmarkStart w:id="0" w:name="_GoBack"/>
      <w:bookmarkEnd w:id="0"/>
      <w:r w:rsidRPr="005B7FC6">
        <w:rPr>
          <w:rFonts w:ascii="Avenir" w:eastAsia="Avenir" w:hAnsi="Avenir" w:cs="Avenir"/>
          <w:sz w:val="24"/>
          <w:szCs w:val="24"/>
          <w:lang w:val="hr-HR"/>
        </w:rPr>
        <w:t>novnog suda u Novom Gradu, te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općinskih sudova u Bihaću, Cazinu i Sanskom Mostu, kao i tužiteljima i tužiteljicama Kantonalnog tužilaštva Unsko-sanskog kantona.</w:t>
      </w:r>
    </w:p>
    <w:p w:rsidR="00407D5F" w:rsidRPr="005B7FC6" w:rsidRDefault="00D552D7">
      <w:pPr>
        <w:tabs>
          <w:tab w:val="center" w:pos="4680"/>
          <w:tab w:val="right" w:pos="9360"/>
          <w:tab w:val="right" w:pos="9638"/>
        </w:tabs>
        <w:spacing w:before="240" w:after="240" w:line="240" w:lineRule="auto"/>
        <w:jc w:val="both"/>
        <w:rPr>
          <w:rFonts w:ascii="Avenir" w:eastAsia="Avenir" w:hAnsi="Avenir" w:cs="Avenir"/>
          <w:sz w:val="24"/>
          <w:szCs w:val="24"/>
          <w:lang w:val="hr-HR"/>
        </w:rPr>
      </w:pPr>
      <w:r w:rsidRPr="005B7FC6">
        <w:rPr>
          <w:rFonts w:ascii="Avenir" w:eastAsia="Avenir" w:hAnsi="Avenir" w:cs="Avenir"/>
          <w:b/>
          <w:sz w:val="24"/>
          <w:szCs w:val="24"/>
          <w:lang w:val="hr-HR"/>
        </w:rPr>
        <w:t>Fata Nadarević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>, predsjednica Kantonalnog suda u Bihaću, u svom uvodnom obraćanju je istaknula da se Bosna i Hercegovina, kao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i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region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, suočava s brojnim izazovima, posebno kada je riječ o institucionalnom odgovoru na nasilje nad ženama. Pojasnila je da su problemi prisutni i u sudskoj praksi, najčešće kao posljedica nerazumijevanja rodne dimenzije nasilja nad ženama i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femicida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>,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što ujedno otvara i brojne mogućnosti za poboljšanje.</w:t>
      </w:r>
    </w:p>
    <w:p w:rsidR="00407D5F" w:rsidRPr="005B7FC6" w:rsidRDefault="005B7FC6">
      <w:pPr>
        <w:tabs>
          <w:tab w:val="center" w:pos="4680"/>
          <w:tab w:val="right" w:pos="9360"/>
          <w:tab w:val="right" w:pos="9638"/>
        </w:tabs>
        <w:spacing w:before="240" w:after="240" w:line="240" w:lineRule="auto"/>
        <w:jc w:val="both"/>
        <w:rPr>
          <w:rFonts w:ascii="Avenir" w:eastAsia="Avenir" w:hAnsi="Avenir" w:cs="Avenir"/>
          <w:sz w:val="24"/>
          <w:szCs w:val="24"/>
          <w:lang w:val="hr-HR"/>
        </w:rPr>
      </w:pPr>
      <w:r>
        <w:rPr>
          <w:rFonts w:ascii="Avenir" w:eastAsia="Avenir" w:hAnsi="Avenir" w:cs="Avenir"/>
          <w:sz w:val="24"/>
          <w:szCs w:val="24"/>
          <w:lang w:val="hr-HR"/>
        </w:rPr>
        <w:t>„</w:t>
      </w:r>
      <w:r w:rsidR="00D552D7" w:rsidRPr="005B7FC6">
        <w:rPr>
          <w:rFonts w:ascii="Avenir" w:eastAsia="Avenir" w:hAnsi="Avenir" w:cs="Avenir"/>
          <w:sz w:val="24"/>
          <w:szCs w:val="24"/>
          <w:lang w:val="hr-HR"/>
        </w:rPr>
        <w:t>Ovaj priručnik predstavlja snažan alat za unapređenje pravosudnog odgovora na tom putu, budući da nudi jasne smjernice za primjenu standarda dužne pažnje, te objašnjava pristup koji je usmjeren na žrt</w:t>
      </w:r>
      <w:r w:rsidR="00D552D7" w:rsidRPr="005B7FC6">
        <w:rPr>
          <w:rFonts w:ascii="Avenir" w:eastAsia="Avenir" w:hAnsi="Avenir" w:cs="Avenir"/>
          <w:sz w:val="24"/>
          <w:szCs w:val="24"/>
          <w:lang w:val="hr-HR"/>
        </w:rPr>
        <w:t>vu. Od kvalifikacije ovih krivičnih djela, pa sve do odmjeravanja olakšavajućih i otežavajućih okolnosti, priručnik pažljivo analizira i objašnjava najbolje prakse ih iz rodne perspektive, koristeći već postojeće primjere i</w:t>
      </w:r>
      <w:r>
        <w:rPr>
          <w:rFonts w:ascii="Avenir" w:eastAsia="Avenir" w:hAnsi="Avenir" w:cs="Avenir"/>
          <w:sz w:val="24"/>
          <w:szCs w:val="24"/>
          <w:lang w:val="hr-HR"/>
        </w:rPr>
        <w:t>z pravosnažnih sudskih predmeta“</w:t>
      </w:r>
      <w:r w:rsidR="00D552D7" w:rsidRPr="005B7FC6">
        <w:rPr>
          <w:rFonts w:ascii="Avenir" w:eastAsia="Avenir" w:hAnsi="Avenir" w:cs="Avenir"/>
          <w:sz w:val="24"/>
          <w:szCs w:val="24"/>
          <w:lang w:val="hr-HR"/>
        </w:rPr>
        <w:t>,</w:t>
      </w:r>
      <w:r w:rsidR="00D552D7" w:rsidRPr="005B7FC6">
        <w:rPr>
          <w:rFonts w:ascii="Avenir" w:eastAsia="Avenir" w:hAnsi="Avenir" w:cs="Avenir"/>
          <w:sz w:val="24"/>
          <w:szCs w:val="24"/>
          <w:lang w:val="hr-HR"/>
        </w:rPr>
        <w:t xml:space="preserve"> </w:t>
      </w:r>
      <w:r>
        <w:rPr>
          <w:rFonts w:ascii="Avenir" w:eastAsia="Avenir" w:hAnsi="Avenir" w:cs="Avenir"/>
          <w:sz w:val="24"/>
          <w:szCs w:val="24"/>
          <w:lang w:val="hr-HR"/>
        </w:rPr>
        <w:t xml:space="preserve">istakla je predsjednica </w:t>
      </w:r>
      <w:r w:rsidR="00D552D7" w:rsidRPr="005B7FC6">
        <w:rPr>
          <w:rFonts w:ascii="Avenir" w:eastAsia="Avenir" w:hAnsi="Avenir" w:cs="Avenir"/>
          <w:b/>
          <w:sz w:val="24"/>
          <w:szCs w:val="24"/>
          <w:lang w:val="hr-HR"/>
        </w:rPr>
        <w:t>Nadarević</w:t>
      </w:r>
      <w:r w:rsidR="00D552D7" w:rsidRPr="005B7FC6">
        <w:rPr>
          <w:rFonts w:ascii="Avenir" w:eastAsia="Avenir" w:hAnsi="Avenir" w:cs="Avenir"/>
          <w:sz w:val="24"/>
          <w:szCs w:val="24"/>
          <w:lang w:val="hr-HR"/>
        </w:rPr>
        <w:t>.</w:t>
      </w:r>
    </w:p>
    <w:p w:rsidR="00407D5F" w:rsidRPr="005B7FC6" w:rsidRDefault="00D552D7">
      <w:pPr>
        <w:tabs>
          <w:tab w:val="center" w:pos="4680"/>
          <w:tab w:val="right" w:pos="9360"/>
          <w:tab w:val="right" w:pos="9638"/>
        </w:tabs>
        <w:spacing w:before="240" w:after="240" w:line="240" w:lineRule="auto"/>
        <w:jc w:val="both"/>
        <w:rPr>
          <w:rFonts w:ascii="Avenir" w:eastAsia="Avenir" w:hAnsi="Avenir" w:cs="Avenir"/>
          <w:sz w:val="24"/>
          <w:szCs w:val="24"/>
          <w:lang w:val="hr-HR"/>
        </w:rPr>
      </w:pP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U okviru događaja na temu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femicida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, rodne ravnopravnosti u praksi Evropskog suda za ljudska prava, te najboljih praksi u kvalifikaciji dijela, odnosno otežavajućih i olakšavajućih okolnosti, govorili su </w:t>
      </w:r>
      <w:r w:rsidRPr="005B7FC6">
        <w:rPr>
          <w:rFonts w:ascii="Avenir" w:eastAsia="Avenir" w:hAnsi="Avenir" w:cs="Avenir"/>
          <w:b/>
          <w:sz w:val="24"/>
          <w:szCs w:val="24"/>
          <w:lang w:val="hr-HR"/>
        </w:rPr>
        <w:t>Zlatko M. Knežević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>, sud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ija Ustavnog suda BiH u penziji i konsultant na projektima AIRE centra, i članovi Mreže sudija i sutkinja posvećenih jačanju rodne ravnopravnosti, </w:t>
      </w:r>
      <w:r w:rsidR="005B7FC6" w:rsidRPr="005B7FC6">
        <w:rPr>
          <w:rFonts w:ascii="Avenir" w:eastAsia="Avenir" w:hAnsi="Avenir" w:cs="Avenir"/>
          <w:b/>
          <w:sz w:val="24"/>
          <w:szCs w:val="24"/>
          <w:lang w:val="hr-HR"/>
        </w:rPr>
        <w:t>Miroslav Popović</w:t>
      </w:r>
      <w:r w:rsidR="005B7FC6" w:rsidRPr="005B7FC6">
        <w:rPr>
          <w:rFonts w:ascii="Avenir" w:eastAsia="Avenir" w:hAnsi="Avenir" w:cs="Avenir"/>
          <w:sz w:val="24"/>
          <w:szCs w:val="24"/>
          <w:lang w:val="hr-HR"/>
        </w:rPr>
        <w:t>, sudija Suda BiH</w:t>
      </w:r>
      <w:r w:rsidR="005B7FC6">
        <w:rPr>
          <w:rFonts w:ascii="Avenir" w:eastAsia="Avenir" w:hAnsi="Avenir" w:cs="Avenir"/>
          <w:sz w:val="24"/>
          <w:szCs w:val="24"/>
          <w:lang w:val="hr-HR"/>
        </w:rPr>
        <w:t xml:space="preserve"> i</w:t>
      </w:r>
      <w:r w:rsidR="005B7FC6" w:rsidRPr="005B7FC6">
        <w:rPr>
          <w:rFonts w:ascii="Avenir" w:eastAsia="Avenir" w:hAnsi="Avenir" w:cs="Avenir"/>
          <w:b/>
          <w:sz w:val="24"/>
          <w:szCs w:val="24"/>
          <w:lang w:val="hr-HR"/>
        </w:rPr>
        <w:t xml:space="preserve"> </w:t>
      </w:r>
      <w:r w:rsidRPr="005B7FC6">
        <w:rPr>
          <w:rFonts w:ascii="Avenir" w:eastAsia="Avenir" w:hAnsi="Avenir" w:cs="Avenir"/>
          <w:b/>
          <w:sz w:val="24"/>
          <w:szCs w:val="24"/>
          <w:lang w:val="hr-HR"/>
        </w:rPr>
        <w:t>Boris Cvitanović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>, su</w:t>
      </w:r>
      <w:r w:rsidR="005B7FC6">
        <w:rPr>
          <w:rFonts w:ascii="Avenir" w:eastAsia="Avenir" w:hAnsi="Avenir" w:cs="Avenir"/>
          <w:sz w:val="24"/>
          <w:szCs w:val="24"/>
          <w:lang w:val="hr-HR"/>
        </w:rPr>
        <w:t>dija Općinskog suda u Travniku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>.</w:t>
      </w:r>
    </w:p>
    <w:p w:rsidR="00407D5F" w:rsidRPr="005B7FC6" w:rsidRDefault="00D552D7">
      <w:pPr>
        <w:tabs>
          <w:tab w:val="center" w:pos="4680"/>
          <w:tab w:val="right" w:pos="9360"/>
          <w:tab w:val="right" w:pos="9638"/>
        </w:tabs>
        <w:spacing w:before="240" w:after="240" w:line="240" w:lineRule="auto"/>
        <w:jc w:val="both"/>
        <w:rPr>
          <w:rFonts w:ascii="Avenir" w:eastAsia="Avenir" w:hAnsi="Avenir" w:cs="Avenir"/>
          <w:sz w:val="24"/>
          <w:szCs w:val="24"/>
          <w:lang w:val="hr-HR"/>
        </w:rPr>
      </w:pPr>
      <w:r w:rsidRPr="005B7FC6">
        <w:rPr>
          <w:rFonts w:ascii="Avenir" w:eastAsia="Avenir" w:hAnsi="Avenir" w:cs="Avenir"/>
          <w:sz w:val="24"/>
          <w:szCs w:val="24"/>
          <w:lang w:val="hr-HR"/>
        </w:rPr>
        <w:t>U okviru događaja pre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>dstav</w:t>
      </w:r>
      <w:r w:rsidR="005B7FC6">
        <w:rPr>
          <w:rFonts w:ascii="Avenir" w:eastAsia="Avenir" w:hAnsi="Avenir" w:cs="Avenir"/>
          <w:sz w:val="24"/>
          <w:szCs w:val="24"/>
          <w:lang w:val="hr-HR"/>
        </w:rPr>
        <w:t>ljen je i regionalni izvještaj „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Sudski odgovor na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femicid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na Zapadnom Balkanu</w:t>
      </w:r>
      <w:r w:rsidR="005B7FC6">
        <w:rPr>
          <w:rFonts w:ascii="Avenir" w:eastAsia="Avenir" w:hAnsi="Avenir" w:cs="Avenir"/>
          <w:sz w:val="24"/>
          <w:szCs w:val="24"/>
          <w:lang w:val="hr-HR"/>
        </w:rPr>
        <w:t xml:space="preserve"> – pravni okvir i sudska praksa“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, koji je rezultat trogodišnjeg istraživanja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femicida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u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regionu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. Izvještaj pruža preporuke za unapređenje procesuiranja i suzbijanja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femicida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 </w:t>
      </w: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u </w:t>
      </w:r>
      <w:proofErr w:type="spellStart"/>
      <w:r w:rsidRPr="005B7FC6">
        <w:rPr>
          <w:rFonts w:ascii="Avenir" w:eastAsia="Avenir" w:hAnsi="Avenir" w:cs="Avenir"/>
          <w:sz w:val="24"/>
          <w:szCs w:val="24"/>
          <w:lang w:val="hr-HR"/>
        </w:rPr>
        <w:t>regionu</w:t>
      </w:r>
      <w:proofErr w:type="spellEnd"/>
      <w:r w:rsidRPr="005B7FC6">
        <w:rPr>
          <w:rFonts w:ascii="Avenir" w:eastAsia="Avenir" w:hAnsi="Avenir" w:cs="Avenir"/>
          <w:sz w:val="24"/>
          <w:szCs w:val="24"/>
          <w:lang w:val="hr-HR"/>
        </w:rPr>
        <w:t>.</w:t>
      </w:r>
    </w:p>
    <w:p w:rsidR="00407D5F" w:rsidRPr="005B7FC6" w:rsidRDefault="00D552D7">
      <w:pPr>
        <w:tabs>
          <w:tab w:val="center" w:pos="4680"/>
          <w:tab w:val="right" w:pos="9360"/>
          <w:tab w:val="right" w:pos="9638"/>
        </w:tabs>
        <w:spacing w:before="240" w:after="240" w:line="240" w:lineRule="auto"/>
        <w:jc w:val="both"/>
        <w:rPr>
          <w:color w:val="434343"/>
          <w:sz w:val="24"/>
          <w:szCs w:val="24"/>
          <w:lang w:val="hr-HR"/>
        </w:rPr>
      </w:pPr>
      <w:r w:rsidRPr="005B7FC6">
        <w:rPr>
          <w:rFonts w:ascii="Avenir" w:eastAsia="Avenir" w:hAnsi="Avenir" w:cs="Avenir"/>
          <w:sz w:val="24"/>
          <w:szCs w:val="24"/>
          <w:lang w:val="hr-HR"/>
        </w:rPr>
        <w:t xml:space="preserve">Priručnik i regionalna studija dostupni su na zvaničnoj web-stranici i mogu se besplatno preuzeti na linku: </w:t>
      </w:r>
      <w:hyperlink r:id="rId7">
        <w:r w:rsidRPr="005B7FC6">
          <w:rPr>
            <w:rFonts w:ascii="Avenir" w:eastAsia="Avenir" w:hAnsi="Avenir" w:cs="Avenir"/>
            <w:color w:val="1155CC"/>
            <w:sz w:val="24"/>
            <w:szCs w:val="24"/>
            <w:u w:val="single"/>
            <w:lang w:val="hr-HR"/>
          </w:rPr>
          <w:t>https://shorturl.at/zAFHL</w:t>
        </w:r>
      </w:hyperlink>
    </w:p>
    <w:sectPr w:rsidR="00407D5F" w:rsidRPr="005B7FC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2D7" w:rsidRDefault="00D552D7">
      <w:pPr>
        <w:spacing w:line="240" w:lineRule="auto"/>
      </w:pPr>
      <w:r>
        <w:separator/>
      </w:r>
    </w:p>
  </w:endnote>
  <w:endnote w:type="continuationSeparator" w:id="0">
    <w:p w:rsidR="00D552D7" w:rsidRDefault="00D552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D5F" w:rsidRDefault="00407D5F">
    <w:pPr>
      <w:tabs>
        <w:tab w:val="center" w:pos="4680"/>
        <w:tab w:val="right" w:pos="9360"/>
        <w:tab w:val="left" w:pos="936"/>
        <w:tab w:val="center" w:pos="4819"/>
      </w:tabs>
      <w:spacing w:line="240" w:lineRule="auto"/>
      <w:jc w:val="center"/>
      <w:rPr>
        <w:rFonts w:ascii="Calibri" w:eastAsia="Calibri" w:hAnsi="Calibri" w:cs="Calibri"/>
        <w:sz w:val="18"/>
        <w:szCs w:val="18"/>
      </w:rPr>
    </w:pPr>
  </w:p>
  <w:p w:rsidR="00407D5F" w:rsidRDefault="00D552D7">
    <w:pPr>
      <w:tabs>
        <w:tab w:val="center" w:pos="4680"/>
        <w:tab w:val="right" w:pos="9360"/>
        <w:tab w:val="left" w:pos="936"/>
        <w:tab w:val="center" w:pos="4819"/>
      </w:tabs>
      <w:spacing w:line="240" w:lineRule="auto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Supported by the UK Government</w:t>
    </w:r>
  </w:p>
  <w:p w:rsidR="00407D5F" w:rsidRDefault="00407D5F">
    <w:pPr>
      <w:tabs>
        <w:tab w:val="center" w:pos="4680"/>
        <w:tab w:val="right" w:pos="9360"/>
        <w:tab w:val="left" w:pos="936"/>
        <w:tab w:val="center" w:pos="4819"/>
      </w:tabs>
      <w:spacing w:line="240" w:lineRule="auto"/>
      <w:jc w:val="center"/>
      <w:rPr>
        <w:rFonts w:ascii="Calibri" w:eastAsia="Calibri" w:hAnsi="Calibri" w:cs="Calibri"/>
      </w:rPr>
    </w:pPr>
  </w:p>
  <w:p w:rsidR="00407D5F" w:rsidRDefault="00D552D7">
    <w:pPr>
      <w:tabs>
        <w:tab w:val="center" w:pos="4680"/>
        <w:tab w:val="right" w:pos="9360"/>
        <w:tab w:val="left" w:pos="936"/>
        <w:tab w:val="center" w:pos="4819"/>
      </w:tabs>
      <w:spacing w:line="240" w:lineRule="auto"/>
      <w:jc w:val="center"/>
    </w:pPr>
    <w:r>
      <w:rPr>
        <w:rFonts w:ascii="Calibri" w:eastAsia="Calibri" w:hAnsi="Calibri" w:cs="Calibri"/>
        <w:noProof/>
        <w:lang w:val="hr-HR"/>
      </w:rPr>
      <w:drawing>
        <wp:inline distT="0" distB="0" distL="0" distR="0">
          <wp:extent cx="1489166" cy="182880"/>
          <wp:effectExtent l="0" t="0" r="0" b="0"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9166" cy="182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2D7" w:rsidRDefault="00D552D7">
      <w:pPr>
        <w:spacing w:line="240" w:lineRule="auto"/>
      </w:pPr>
      <w:r>
        <w:separator/>
      </w:r>
    </w:p>
  </w:footnote>
  <w:footnote w:type="continuationSeparator" w:id="0">
    <w:p w:rsidR="00D552D7" w:rsidRDefault="00D552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D5F" w:rsidRDefault="00D552D7">
    <w:pPr>
      <w:tabs>
        <w:tab w:val="center" w:pos="4680"/>
        <w:tab w:val="right" w:pos="9360"/>
        <w:tab w:val="right" w:pos="9638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val="hr-HR"/>
      </w:rPr>
      <w:drawing>
        <wp:inline distT="0" distB="0" distL="0" distR="0">
          <wp:extent cx="4171950" cy="981075"/>
          <wp:effectExtent l="0" t="0" r="0" 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r="27217"/>
                  <a:stretch>
                    <a:fillRect/>
                  </a:stretch>
                </pic:blipFill>
                <pic:spPr>
                  <a:xfrm>
                    <a:off x="0" y="0"/>
                    <a:ext cx="4171950" cy="981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407D5F" w:rsidRDefault="00407D5F">
    <w:pPr>
      <w:tabs>
        <w:tab w:val="center" w:pos="4680"/>
        <w:tab w:val="right" w:pos="9360"/>
        <w:tab w:val="right" w:pos="9638"/>
      </w:tabs>
      <w:spacing w:line="240" w:lineRule="auto"/>
      <w:jc w:val="center"/>
      <w:rPr>
        <w:rFonts w:ascii="Calibri" w:eastAsia="Calibri" w:hAnsi="Calibri" w:cs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5F"/>
    <w:rsid w:val="00407D5F"/>
    <w:rsid w:val="005B7FC6"/>
    <w:rsid w:val="00D5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B4FA8"/>
  <w15:docId w15:val="{0792BB83-30BC-4372-A940-B8C29A09F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hr-H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horturl.at/zAFH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WWdiuxJnxNGF7lkKGbJmNq6D3g==">CgMxLjA4AHIhMWZVSHN6ekVPX2JGdmtRaTZiZGN1WlR6TWxoSkNZTWdv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Ustavni sud BiH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Mijić</dc:creator>
  <cp:lastModifiedBy>Vesna Mijić</cp:lastModifiedBy>
  <cp:revision>2</cp:revision>
  <dcterms:created xsi:type="dcterms:W3CDTF">2024-09-11T08:41:00Z</dcterms:created>
  <dcterms:modified xsi:type="dcterms:W3CDTF">2024-09-11T08:41:00Z</dcterms:modified>
</cp:coreProperties>
</file>