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4FF" w:rsidRPr="002D34FF" w:rsidRDefault="002D34FF" w:rsidP="002D34FF">
      <w:pPr>
        <w:rPr>
          <w:rFonts w:ascii="Times New Roman" w:hAnsi="Times New Roman" w:cs="Times New Roman"/>
        </w:rPr>
      </w:pPr>
      <w:r w:rsidRPr="002D34FF">
        <w:rPr>
          <w:rFonts w:ascii="Times New Roman" w:hAnsi="Times New Roman" w:cs="Times New Roman"/>
        </w:rPr>
        <w:t xml:space="preserve">BOSNA I HERCEGOVINA </w:t>
      </w:r>
    </w:p>
    <w:p w:rsidR="002D34FF" w:rsidRPr="002D34FF" w:rsidRDefault="002D34FF" w:rsidP="002D34FF">
      <w:pPr>
        <w:rPr>
          <w:rFonts w:ascii="Times New Roman" w:hAnsi="Times New Roman" w:cs="Times New Roman"/>
        </w:rPr>
      </w:pPr>
      <w:r w:rsidRPr="002D34FF">
        <w:rPr>
          <w:rFonts w:ascii="Times New Roman" w:hAnsi="Times New Roman" w:cs="Times New Roman"/>
        </w:rPr>
        <w:t>FEDERACIJA BOSNE I HERCEGOVINE</w:t>
      </w:r>
    </w:p>
    <w:p w:rsidR="002D34FF" w:rsidRPr="002D34FF" w:rsidRDefault="002D34FF" w:rsidP="002D34FF">
      <w:pPr>
        <w:rPr>
          <w:rFonts w:ascii="Times New Roman" w:hAnsi="Times New Roman" w:cs="Times New Roman"/>
        </w:rPr>
      </w:pPr>
      <w:r w:rsidRPr="002D34FF">
        <w:rPr>
          <w:rFonts w:ascii="Times New Roman" w:hAnsi="Times New Roman" w:cs="Times New Roman"/>
        </w:rPr>
        <w:t xml:space="preserve">TUZLANSKI KANTON </w:t>
      </w:r>
    </w:p>
    <w:p w:rsidR="002D34FF" w:rsidRPr="002D34FF" w:rsidRDefault="002D34FF" w:rsidP="002D34FF">
      <w:pPr>
        <w:rPr>
          <w:rFonts w:ascii="Times New Roman" w:hAnsi="Times New Roman" w:cs="Times New Roman"/>
        </w:rPr>
      </w:pPr>
      <w:r w:rsidRPr="002D34FF">
        <w:rPr>
          <w:rFonts w:ascii="Times New Roman" w:hAnsi="Times New Roman" w:cs="Times New Roman"/>
        </w:rPr>
        <w:t xml:space="preserve">OPĆINSKI SUD U LUKAVCU                                                                                                      </w:t>
      </w:r>
    </w:p>
    <w:p w:rsidR="002D34FF" w:rsidRPr="002D34FF" w:rsidRDefault="002D34FF" w:rsidP="002D34FF">
      <w:pPr>
        <w:rPr>
          <w:rFonts w:ascii="Times New Roman" w:hAnsi="Times New Roman" w:cs="Times New Roman"/>
        </w:rPr>
      </w:pPr>
      <w:r w:rsidRPr="002D34FF">
        <w:rPr>
          <w:rFonts w:ascii="Times New Roman" w:hAnsi="Times New Roman" w:cs="Times New Roman"/>
        </w:rPr>
        <w:t>Broj: 126 0 I 041871 22 I 4</w:t>
      </w:r>
    </w:p>
    <w:p w:rsidR="002D34FF" w:rsidRPr="002D34FF" w:rsidRDefault="002D34FF" w:rsidP="002D34FF">
      <w:pPr>
        <w:rPr>
          <w:rFonts w:ascii="Times New Roman" w:hAnsi="Times New Roman" w:cs="Times New Roman"/>
        </w:rPr>
      </w:pPr>
      <w:r w:rsidRPr="002D34FF">
        <w:rPr>
          <w:rFonts w:ascii="Times New Roman" w:hAnsi="Times New Roman" w:cs="Times New Roman"/>
        </w:rPr>
        <w:t xml:space="preserve">Lukavac, 11.07.2024. godine </w:t>
      </w:r>
    </w:p>
    <w:p w:rsidR="002D34FF" w:rsidRPr="002D34FF" w:rsidRDefault="002D34FF" w:rsidP="002D34FF">
      <w:pPr>
        <w:rPr>
          <w:rFonts w:ascii="Times New Roman" w:hAnsi="Times New Roman" w:cs="Times New Roman"/>
        </w:rPr>
      </w:pPr>
    </w:p>
    <w:p w:rsidR="002D34FF" w:rsidRPr="002D34FF" w:rsidRDefault="002D34FF" w:rsidP="002D34FF">
      <w:pPr>
        <w:jc w:val="both"/>
        <w:rPr>
          <w:rFonts w:ascii="Times New Roman" w:hAnsi="Times New Roman" w:cs="Times New Roman"/>
        </w:rPr>
      </w:pPr>
      <w:r w:rsidRPr="002D34FF">
        <w:rPr>
          <w:rFonts w:ascii="Times New Roman" w:hAnsi="Times New Roman" w:cs="Times New Roman"/>
        </w:rPr>
        <w:t>Općinski sud u Lukavcu, sudija Igor Iveljić, u izvršnom postupku tražioca izvršenja Union banka d.d. Sarajevo, Filijala Tuzla, zastupana po punomoćniku Mešić Amiru, advokatu iz</w:t>
      </w:r>
      <w:r w:rsidR="00F5749F">
        <w:rPr>
          <w:rFonts w:ascii="Times New Roman" w:hAnsi="Times New Roman" w:cs="Times New Roman"/>
        </w:rPr>
        <w:t xml:space="preserve"> Tuzle, protiv izvršenika B.E</w:t>
      </w:r>
      <w:r w:rsidRPr="002D34FF">
        <w:rPr>
          <w:rFonts w:ascii="Times New Roman" w:hAnsi="Times New Roman" w:cs="Times New Roman"/>
        </w:rPr>
        <w:t xml:space="preserve">, </w:t>
      </w:r>
      <w:r w:rsidR="00F5749F">
        <w:rPr>
          <w:rFonts w:ascii="Times New Roman" w:hAnsi="Times New Roman" w:cs="Times New Roman"/>
        </w:rPr>
        <w:t>...</w:t>
      </w:r>
      <w:r w:rsidRPr="002D34FF">
        <w:rPr>
          <w:rFonts w:ascii="Times New Roman" w:hAnsi="Times New Roman" w:cs="Times New Roman"/>
        </w:rPr>
        <w:t xml:space="preserve"> bb, Grad Lukavac radi naplate novčanog potraživanja, vsp. 8.501,01 KM, dana 11.07.2024. godine donio je</w:t>
      </w:r>
    </w:p>
    <w:p w:rsidR="002D34FF" w:rsidRPr="002D34FF" w:rsidRDefault="002D34FF" w:rsidP="002D34FF">
      <w:pPr>
        <w:rPr>
          <w:rFonts w:ascii="Times New Roman" w:hAnsi="Times New Roman" w:cs="Times New Roman"/>
        </w:rPr>
      </w:pPr>
    </w:p>
    <w:p w:rsidR="002D34FF" w:rsidRPr="002D34FF" w:rsidRDefault="002D34FF" w:rsidP="002D34FF">
      <w:pPr>
        <w:jc w:val="center"/>
        <w:rPr>
          <w:rFonts w:ascii="Times New Roman" w:hAnsi="Times New Roman" w:cs="Times New Roman"/>
        </w:rPr>
      </w:pPr>
      <w:r w:rsidRPr="002D34FF">
        <w:rPr>
          <w:rFonts w:ascii="Times New Roman" w:hAnsi="Times New Roman" w:cs="Times New Roman"/>
        </w:rPr>
        <w:t>ZAKLJUČAK O PRODAJI</w:t>
      </w:r>
    </w:p>
    <w:p w:rsidR="002D34FF" w:rsidRPr="002D34FF" w:rsidRDefault="002D34FF" w:rsidP="002D34FF">
      <w:pPr>
        <w:jc w:val="center"/>
        <w:rPr>
          <w:rFonts w:ascii="Times New Roman" w:hAnsi="Times New Roman" w:cs="Times New Roman"/>
        </w:rPr>
      </w:pPr>
    </w:p>
    <w:p w:rsidR="002D34FF" w:rsidRPr="002D34FF" w:rsidRDefault="002D34FF" w:rsidP="002D34FF">
      <w:pPr>
        <w:jc w:val="center"/>
        <w:rPr>
          <w:rFonts w:ascii="Times New Roman" w:hAnsi="Times New Roman" w:cs="Times New Roman"/>
        </w:rPr>
      </w:pPr>
      <w:r w:rsidRPr="002D34FF">
        <w:rPr>
          <w:rFonts w:ascii="Times New Roman" w:hAnsi="Times New Roman" w:cs="Times New Roman"/>
        </w:rPr>
        <w:t>I.</w:t>
      </w:r>
    </w:p>
    <w:p w:rsidR="002D34FF" w:rsidRPr="002D34FF" w:rsidRDefault="002D34FF" w:rsidP="002D34FF">
      <w:pPr>
        <w:jc w:val="center"/>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Određuje se prvo ročište za prod</w:t>
      </w:r>
      <w:r w:rsidR="00F5749F">
        <w:rPr>
          <w:rFonts w:ascii="Times New Roman" w:hAnsi="Times New Roman" w:cs="Times New Roman"/>
        </w:rPr>
        <w:t>aju nekretnine izvršenika B.</w:t>
      </w:r>
      <w:bookmarkStart w:id="0" w:name="_GoBack"/>
      <w:bookmarkEnd w:id="0"/>
      <w:r w:rsidR="00F5749F">
        <w:rPr>
          <w:rFonts w:ascii="Times New Roman" w:hAnsi="Times New Roman" w:cs="Times New Roman"/>
        </w:rPr>
        <w:t>E</w:t>
      </w:r>
      <w:r w:rsidRPr="002D34FF">
        <w:rPr>
          <w:rFonts w:ascii="Times New Roman" w:hAnsi="Times New Roman" w:cs="Times New Roman"/>
        </w:rPr>
        <w:t xml:space="preserve"> i to: </w:t>
      </w:r>
    </w:p>
    <w:p w:rsidR="002D34FF" w:rsidRPr="002D34FF" w:rsidRDefault="002D34FF" w:rsidP="002D34FF">
      <w:pPr>
        <w:jc w:val="both"/>
        <w:outlineLvl w:val="0"/>
        <w:rPr>
          <w:rFonts w:ascii="Times New Roman" w:hAnsi="Times New Roman" w:cs="Times New Roman"/>
          <w:b/>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nekretnina upisana u ZK uložak broj </w:t>
      </w:r>
      <w:r w:rsidR="00F5749F">
        <w:rPr>
          <w:rFonts w:ascii="Times New Roman" w:hAnsi="Times New Roman" w:cs="Times New Roman"/>
        </w:rPr>
        <w:t>...</w:t>
      </w:r>
      <w:r w:rsidRPr="002D34FF">
        <w:rPr>
          <w:rFonts w:ascii="Times New Roman" w:hAnsi="Times New Roman" w:cs="Times New Roman"/>
        </w:rPr>
        <w:t xml:space="preserve">, K.O. Poljice I, označena kao kč. broj </w:t>
      </w:r>
      <w:r w:rsidRPr="002D34FF">
        <w:rPr>
          <w:rFonts w:ascii="Times New Roman" w:hAnsi="Times New Roman" w:cs="Times New Roman"/>
          <w:lang w:eastAsia="bs-Latn-BA"/>
        </w:rPr>
        <w:t>59/1, Mehićka, kuća i zgrada, površine 33 m2 i Dvorište površine 213 m2, sa pravom vlasništva izvršenika sa ½, s tim da je predmet prodaje suvlasnički dio izvršenika</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center"/>
        <w:outlineLvl w:val="0"/>
        <w:rPr>
          <w:rFonts w:ascii="Times New Roman" w:hAnsi="Times New Roman" w:cs="Times New Roman"/>
          <w:u w:val="single"/>
        </w:rPr>
      </w:pPr>
    </w:p>
    <w:p w:rsidR="002D34FF" w:rsidRPr="002D34FF" w:rsidRDefault="002D34FF" w:rsidP="002D34FF">
      <w:pPr>
        <w:jc w:val="center"/>
        <w:outlineLvl w:val="0"/>
        <w:rPr>
          <w:rFonts w:ascii="Times New Roman" w:hAnsi="Times New Roman" w:cs="Times New Roman"/>
          <w:u w:val="single"/>
        </w:rPr>
      </w:pPr>
      <w:r w:rsidRPr="002D34FF">
        <w:rPr>
          <w:rFonts w:ascii="Times New Roman" w:hAnsi="Times New Roman" w:cs="Times New Roman"/>
          <w:u w:val="single"/>
        </w:rPr>
        <w:t>za dan 04.09.2024. godine sa početkom u 08,30 sati</w:t>
      </w:r>
    </w:p>
    <w:p w:rsidR="002D34FF" w:rsidRPr="002D34FF" w:rsidRDefault="002D34FF" w:rsidP="002D34FF">
      <w:pPr>
        <w:jc w:val="center"/>
        <w:outlineLvl w:val="0"/>
        <w:rPr>
          <w:rFonts w:ascii="Times New Roman" w:hAnsi="Times New Roman" w:cs="Times New Roman"/>
          <w:u w:val="single"/>
        </w:rPr>
      </w:pPr>
    </w:p>
    <w:p w:rsidR="002D34FF" w:rsidRPr="002D34FF" w:rsidRDefault="002D34FF" w:rsidP="002D34FF">
      <w:pPr>
        <w:jc w:val="center"/>
        <w:outlineLvl w:val="0"/>
        <w:rPr>
          <w:rFonts w:ascii="Times New Roman" w:hAnsi="Times New Roman" w:cs="Times New Roman"/>
          <w:u w:val="single"/>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Ročište za prodaju održat će se u zgradi Općinskog suda u Lukavcu, sudnica broj 23. </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center"/>
        <w:outlineLvl w:val="0"/>
        <w:rPr>
          <w:rFonts w:ascii="Times New Roman" w:hAnsi="Times New Roman" w:cs="Times New Roman"/>
        </w:rPr>
      </w:pPr>
      <w:r w:rsidRPr="002D34FF">
        <w:rPr>
          <w:rFonts w:ascii="Times New Roman" w:hAnsi="Times New Roman" w:cs="Times New Roman"/>
        </w:rPr>
        <w:t>II.</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Vrijednost ½ nekretnine utvrđena je i ista iznosi 8.546,00 KM. </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center"/>
        <w:outlineLvl w:val="0"/>
        <w:rPr>
          <w:rFonts w:ascii="Times New Roman" w:hAnsi="Times New Roman" w:cs="Times New Roman"/>
        </w:rPr>
      </w:pPr>
      <w:r w:rsidRPr="002D34FF">
        <w:rPr>
          <w:rFonts w:ascii="Times New Roman" w:hAnsi="Times New Roman" w:cs="Times New Roman"/>
        </w:rPr>
        <w:t>III.</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Na prvom ročištu za javno nadmetanje ne može se nekretnina prodati ispod polovine utvrđene vrijednosti navedene pod tačkom II. ovog zaključka.</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Ako se nekretnina ne bude mogla prodati na prvom ročištu, sud će u roku od 30 dana zakazati drugo ročište na kojem se nekretnina ne može prodati za manje od 1/3 vrijednosti utvrđene zaključkom o prodaji.</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Kupac je dužan platiti porez na promet nepokretnosti i takse u vezi sa prodajom. </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center"/>
        <w:outlineLvl w:val="0"/>
        <w:rPr>
          <w:rFonts w:ascii="Times New Roman" w:hAnsi="Times New Roman" w:cs="Times New Roman"/>
        </w:rPr>
      </w:pPr>
      <w:r w:rsidRPr="002D34FF">
        <w:rPr>
          <w:rFonts w:ascii="Times New Roman" w:hAnsi="Times New Roman" w:cs="Times New Roman"/>
        </w:rPr>
        <w:t>IV.</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Kupac je dužan položiti cijenu u roku od 30 dana od dana objavljivanja zaključka o prodaji nepokretnosti najpovoljnijem kupcu na oglasnoj tabli suda. Ako ponudilac sa najvećom ponudom nedeponuje prodajnu cijenu u predviđenom roku sud će zaključkom prodaju tom </w:t>
      </w:r>
      <w:r w:rsidRPr="002D34FF">
        <w:rPr>
          <w:rFonts w:ascii="Times New Roman" w:hAnsi="Times New Roman" w:cs="Times New Roman"/>
        </w:rPr>
        <w:lastRenderedPageBreak/>
        <w:t>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center"/>
        <w:outlineLvl w:val="0"/>
        <w:rPr>
          <w:rFonts w:ascii="Times New Roman" w:hAnsi="Times New Roman" w:cs="Times New Roman"/>
        </w:rPr>
      </w:pPr>
      <w:r w:rsidRPr="002D34FF">
        <w:rPr>
          <w:rFonts w:ascii="Times New Roman" w:hAnsi="Times New Roman" w:cs="Times New Roman"/>
        </w:rPr>
        <w:t>V.</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center"/>
        <w:outlineLvl w:val="0"/>
        <w:rPr>
          <w:rFonts w:ascii="Times New Roman" w:hAnsi="Times New Roman" w:cs="Times New Roman"/>
        </w:rPr>
      </w:pPr>
      <w:r w:rsidRPr="002D34FF">
        <w:rPr>
          <w:rFonts w:ascii="Times New Roman" w:hAnsi="Times New Roman" w:cs="Times New Roman"/>
        </w:rPr>
        <w:t>VI.</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center"/>
        <w:outlineLvl w:val="0"/>
        <w:rPr>
          <w:rFonts w:ascii="Times New Roman" w:hAnsi="Times New Roman" w:cs="Times New Roman"/>
        </w:rPr>
      </w:pPr>
      <w:r w:rsidRPr="002D34FF">
        <w:rPr>
          <w:rFonts w:ascii="Times New Roman" w:hAnsi="Times New Roman" w:cs="Times New Roman"/>
        </w:rPr>
        <w:t>VII.</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Ovaj zaključak objavit će se na oglasnoj ploči suda a stranka može o svom trošku objaviti zaključak o prodaji u sredstvima javnog informisanja odnosno da o zaključku obavijesti lica koja se bave posredovanjem u prodaji nekretnina. </w:t>
      </w:r>
    </w:p>
    <w:p w:rsidR="002D34FF" w:rsidRPr="002D34FF" w:rsidRDefault="002D34FF" w:rsidP="002D34FF">
      <w:pPr>
        <w:jc w:val="both"/>
        <w:outlineLvl w:val="0"/>
        <w:rPr>
          <w:rFonts w:ascii="Times New Roman" w:hAnsi="Times New Roman" w:cs="Times New Roman"/>
        </w:rPr>
      </w:pP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 xml:space="preserve"> </w:t>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t xml:space="preserve">                   SUDIJA</w:t>
      </w:r>
    </w:p>
    <w:p w:rsidR="002D34FF" w:rsidRPr="002D34FF" w:rsidRDefault="002D34FF" w:rsidP="002D34FF">
      <w:pPr>
        <w:jc w:val="both"/>
        <w:outlineLvl w:val="0"/>
        <w:rPr>
          <w:rFonts w:ascii="Times New Roman" w:hAnsi="Times New Roman" w:cs="Times New Roman"/>
        </w:rPr>
      </w:pP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r>
      <w:r w:rsidRPr="002D34FF">
        <w:rPr>
          <w:rFonts w:ascii="Times New Roman" w:hAnsi="Times New Roman" w:cs="Times New Roman"/>
        </w:rPr>
        <w:tab/>
        <w:t xml:space="preserve">     Igor Iveljić </w:t>
      </w:r>
    </w:p>
    <w:p w:rsidR="002D34FF" w:rsidRPr="002D34FF" w:rsidRDefault="002D34FF" w:rsidP="002D34FF">
      <w:pPr>
        <w:jc w:val="both"/>
        <w:rPr>
          <w:rFonts w:ascii="Times New Roman" w:hAnsi="Times New Roman" w:cs="Times New Roman"/>
        </w:rPr>
      </w:pPr>
    </w:p>
    <w:p w:rsidR="002D34FF" w:rsidRPr="002D34FF" w:rsidRDefault="002D34FF" w:rsidP="002D34FF">
      <w:pPr>
        <w:jc w:val="both"/>
        <w:rPr>
          <w:rFonts w:ascii="Times New Roman" w:hAnsi="Times New Roman" w:cs="Times New Roman"/>
        </w:rPr>
      </w:pPr>
      <w:r w:rsidRPr="002D34FF">
        <w:rPr>
          <w:rFonts w:ascii="Times New Roman" w:hAnsi="Times New Roman" w:cs="Times New Roman"/>
        </w:rPr>
        <w:t xml:space="preserve">Pouka o pravnom lijeku: </w:t>
      </w:r>
    </w:p>
    <w:p w:rsidR="002D34FF" w:rsidRPr="002D34FF" w:rsidRDefault="002D34FF" w:rsidP="002D34FF">
      <w:pPr>
        <w:tabs>
          <w:tab w:val="right" w:pos="9360"/>
        </w:tabs>
        <w:jc w:val="both"/>
        <w:rPr>
          <w:rFonts w:ascii="Times New Roman" w:hAnsi="Times New Roman" w:cs="Times New Roman"/>
        </w:rPr>
      </w:pPr>
      <w:r w:rsidRPr="002D34FF">
        <w:rPr>
          <w:rFonts w:ascii="Times New Roman" w:hAnsi="Times New Roman" w:cs="Times New Roman"/>
        </w:rPr>
        <w:t>Protiv ovog zaključka nije dozvoljen pravni lijek.</w:t>
      </w:r>
    </w:p>
    <w:p w:rsidR="002D34FF" w:rsidRPr="002D34FF" w:rsidRDefault="002D34FF" w:rsidP="002D34FF">
      <w:pPr>
        <w:tabs>
          <w:tab w:val="right" w:pos="9360"/>
        </w:tabs>
        <w:jc w:val="both"/>
        <w:rPr>
          <w:rFonts w:ascii="Times New Roman" w:hAnsi="Times New Roman" w:cs="Times New Roman"/>
        </w:rPr>
      </w:pPr>
    </w:p>
    <w:p w:rsidR="002D34FF" w:rsidRPr="002D34FF" w:rsidRDefault="002D34FF" w:rsidP="002D34FF">
      <w:pPr>
        <w:rPr>
          <w:rFonts w:ascii="Times New Roman" w:hAnsi="Times New Roman" w:cs="Times New Roman"/>
        </w:rPr>
      </w:pPr>
    </w:p>
    <w:p w:rsidR="002D34FF" w:rsidRPr="002D34FF" w:rsidRDefault="002D34FF" w:rsidP="002D34FF">
      <w:pPr>
        <w:rPr>
          <w:rFonts w:ascii="Times New Roman" w:hAnsi="Times New Roman" w:cs="Times New Roman"/>
        </w:rPr>
      </w:pPr>
    </w:p>
    <w:p w:rsidR="002D34FF" w:rsidRPr="002D34FF" w:rsidRDefault="002D34FF" w:rsidP="002D34FF">
      <w:pPr>
        <w:rPr>
          <w:rFonts w:ascii="Times New Roman" w:hAnsi="Times New Roman" w:cs="Times New Roman"/>
        </w:rPr>
      </w:pPr>
    </w:p>
    <w:p w:rsidR="002D34FF" w:rsidRPr="002D34FF" w:rsidRDefault="002D34FF" w:rsidP="002D34FF">
      <w:pPr>
        <w:rPr>
          <w:rFonts w:ascii="Times New Roman" w:hAnsi="Times New Roman" w:cs="Times New Roman"/>
        </w:rPr>
      </w:pPr>
    </w:p>
    <w:p w:rsidR="00856723" w:rsidRPr="002D34FF" w:rsidRDefault="00856723" w:rsidP="002D34FF">
      <w:pPr>
        <w:rPr>
          <w:rFonts w:ascii="Times New Roman" w:hAnsi="Times New Roman" w:cs="Times New Roman"/>
        </w:rPr>
      </w:pPr>
    </w:p>
    <w:sectPr w:rsidR="00856723" w:rsidRPr="002D34FF" w:rsidSect="002D34FF">
      <w:pgSz w:w="11907" w:h="16840" w:code="9"/>
      <w:pgMar w:top="426" w:right="1134"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F4913"/>
    <w:multiLevelType w:val="hybridMultilevel"/>
    <w:tmpl w:val="3E5EFBCE"/>
    <w:lvl w:ilvl="0" w:tplc="D2C428A0">
      <w:start w:val="1"/>
      <w:numFmt w:val="decimal"/>
      <w:lvlText w:val="%1."/>
      <w:lvlJc w:val="left"/>
      <w:pPr>
        <w:tabs>
          <w:tab w:val="num" w:pos="360"/>
        </w:tabs>
        <w:ind w:left="360" w:hanging="360"/>
      </w:pPr>
      <w:rPr>
        <w:rFonts w:hint="default"/>
        <w:b w:val="0"/>
        <w:i w:val="0"/>
      </w:rPr>
    </w:lvl>
    <w:lvl w:ilvl="1" w:tplc="E3C0B940">
      <w:start w:val="1"/>
      <w:numFmt w:val="lowerLetter"/>
      <w:lvlText w:val="%2."/>
      <w:lvlJc w:val="left"/>
      <w:pPr>
        <w:tabs>
          <w:tab w:val="num" w:pos="1080"/>
        </w:tabs>
        <w:ind w:left="1080" w:hanging="360"/>
      </w:pPr>
    </w:lvl>
    <w:lvl w:ilvl="2" w:tplc="463006E4">
      <w:start w:val="1"/>
      <w:numFmt w:val="lowerRoman"/>
      <w:lvlText w:val="%3."/>
      <w:lvlJc w:val="right"/>
      <w:pPr>
        <w:tabs>
          <w:tab w:val="num" w:pos="1800"/>
        </w:tabs>
        <w:ind w:left="1800" w:hanging="180"/>
      </w:pPr>
    </w:lvl>
    <w:lvl w:ilvl="3" w:tplc="C38083EC">
      <w:start w:val="1"/>
      <w:numFmt w:val="decimal"/>
      <w:lvlText w:val="%4."/>
      <w:lvlJc w:val="left"/>
      <w:pPr>
        <w:tabs>
          <w:tab w:val="num" w:pos="2520"/>
        </w:tabs>
        <w:ind w:left="2520" w:hanging="360"/>
      </w:pPr>
    </w:lvl>
    <w:lvl w:ilvl="4" w:tplc="9EF0D386">
      <w:start w:val="1"/>
      <w:numFmt w:val="lowerLetter"/>
      <w:lvlText w:val="%5."/>
      <w:lvlJc w:val="left"/>
      <w:pPr>
        <w:tabs>
          <w:tab w:val="num" w:pos="3240"/>
        </w:tabs>
        <w:ind w:left="3240" w:hanging="360"/>
      </w:pPr>
    </w:lvl>
    <w:lvl w:ilvl="5" w:tplc="70781B92">
      <w:start w:val="1"/>
      <w:numFmt w:val="lowerRoman"/>
      <w:lvlText w:val="%6."/>
      <w:lvlJc w:val="right"/>
      <w:pPr>
        <w:tabs>
          <w:tab w:val="num" w:pos="3960"/>
        </w:tabs>
        <w:ind w:left="3960" w:hanging="180"/>
      </w:pPr>
    </w:lvl>
    <w:lvl w:ilvl="6" w:tplc="251C1E2A">
      <w:start w:val="1"/>
      <w:numFmt w:val="decimal"/>
      <w:lvlText w:val="%7."/>
      <w:lvlJc w:val="left"/>
      <w:pPr>
        <w:tabs>
          <w:tab w:val="num" w:pos="4680"/>
        </w:tabs>
        <w:ind w:left="4680" w:hanging="360"/>
      </w:pPr>
    </w:lvl>
    <w:lvl w:ilvl="7" w:tplc="90D855F2">
      <w:start w:val="1"/>
      <w:numFmt w:val="lowerLetter"/>
      <w:lvlText w:val="%8."/>
      <w:lvlJc w:val="left"/>
      <w:pPr>
        <w:tabs>
          <w:tab w:val="num" w:pos="5400"/>
        </w:tabs>
        <w:ind w:left="5400" w:hanging="360"/>
      </w:pPr>
    </w:lvl>
    <w:lvl w:ilvl="8" w:tplc="96A49496">
      <w:start w:val="1"/>
      <w:numFmt w:val="lowerRoman"/>
      <w:lvlText w:val="%9."/>
      <w:lvlJc w:val="right"/>
      <w:pPr>
        <w:tabs>
          <w:tab w:val="num" w:pos="6120"/>
        </w:tabs>
        <w:ind w:left="6120" w:hanging="180"/>
      </w:pPr>
    </w:lvl>
  </w:abstractNum>
  <w:abstractNum w:abstractNumId="1">
    <w:nsid w:val="4C8C56E6"/>
    <w:multiLevelType w:val="multilevel"/>
    <w:tmpl w:val="FB18722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50CB3E38"/>
    <w:multiLevelType w:val="multilevel"/>
    <w:tmpl w:val="5DCE21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E4A0667"/>
    <w:multiLevelType w:val="multilevel"/>
    <w:tmpl w:val="A55899B4"/>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nsid w:val="6D093B25"/>
    <w:multiLevelType w:val="multilevel"/>
    <w:tmpl w:val="5B7C1CF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723"/>
    <w:rsid w:val="002D34FF"/>
    <w:rsid w:val="00856723"/>
    <w:rsid w:val="00F5749F"/>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B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B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164296">
      <w:bodyDiv w:val="1"/>
      <w:marLeft w:val="0"/>
      <w:marRight w:val="0"/>
      <w:marTop w:val="0"/>
      <w:marBottom w:val="0"/>
      <w:divBdr>
        <w:top w:val="none" w:sz="0" w:space="0" w:color="auto"/>
        <w:left w:val="none" w:sz="0" w:space="0" w:color="auto"/>
        <w:bottom w:val="none" w:sz="0" w:space="0" w:color="auto"/>
        <w:right w:val="none" w:sz="0" w:space="0" w:color="auto"/>
      </w:divBdr>
    </w:div>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2024-07-12T07:12:00Z</dcterms:created>
  <dcterms:modified xsi:type="dcterms:W3CDTF">2024-07-12T07:12:00Z</dcterms:modified>
</cp:coreProperties>
</file>