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sz w:val="24"/>
          <w:szCs w:val="24"/>
        </w:rPr>
      </w:pPr>
      <w:r>
        <w:rPr>
          <w:b/>
          <w:sz w:val="24"/>
          <w:szCs w:val="24"/>
        </w:rPr>
        <w:t xml:space="preserve">BOSNA I HERCEGOVINA </w:t>
      </w:r>
    </w:p>
    <w:p>
      <w:pPr>
        <w:pStyle w:val="Normal"/>
        <w:rPr>
          <w:b/>
          <w:b/>
          <w:sz w:val="24"/>
          <w:szCs w:val="24"/>
        </w:rPr>
      </w:pPr>
      <w:r>
        <w:rPr>
          <w:b/>
          <w:sz w:val="24"/>
          <w:szCs w:val="24"/>
        </w:rPr>
        <w:t>FEDERACIJA BOSNE I HERCEGOVINE</w:t>
      </w:r>
    </w:p>
    <w:p>
      <w:pPr>
        <w:pStyle w:val="Normal"/>
        <w:rPr>
          <w:b/>
          <w:b/>
          <w:sz w:val="24"/>
          <w:szCs w:val="24"/>
        </w:rPr>
      </w:pPr>
      <w:r>
        <w:rPr>
          <w:b/>
          <w:sz w:val="24"/>
          <w:szCs w:val="24"/>
        </w:rPr>
        <w:t xml:space="preserve">HERCEGOVAČKO NERETVANSKA ŽUPANIJA/ KANTON </w:t>
      </w:r>
    </w:p>
    <w:p>
      <w:pPr>
        <w:pStyle w:val="Normal"/>
        <w:rPr>
          <w:b/>
          <w:b/>
          <w:sz w:val="24"/>
          <w:szCs w:val="24"/>
        </w:rPr>
      </w:pPr>
      <w:r>
        <w:rPr>
          <w:b/>
          <w:sz w:val="24"/>
          <w:szCs w:val="24"/>
        </w:rPr>
        <w:t xml:space="preserve">ŽUPANIJSKI/KANTONALNI SUD U MOSTARU </w:t>
      </w:r>
    </w:p>
    <w:p>
      <w:pPr>
        <w:pStyle w:val="Normal"/>
        <w:rPr>
          <w:b/>
          <w:b/>
          <w:sz w:val="24"/>
          <w:szCs w:val="24"/>
        </w:rPr>
      </w:pPr>
      <w:r>
        <w:rPr>
          <w:b/>
          <w:sz w:val="24"/>
          <w:szCs w:val="24"/>
        </w:rPr>
        <w:t>Broj: 58 0 I 015819 22 Gž</w:t>
      </w:r>
    </w:p>
    <w:p>
      <w:pPr>
        <w:pStyle w:val="Normal"/>
        <w:rPr>
          <w:sz w:val="24"/>
          <w:szCs w:val="24"/>
        </w:rPr>
      </w:pPr>
      <w:r>
        <w:rPr>
          <w:b/>
          <w:sz w:val="24"/>
          <w:szCs w:val="24"/>
        </w:rPr>
        <w:t xml:space="preserve">Mostar, 18.01.2023. godine </w:t>
      </w:r>
    </w:p>
    <w:p>
      <w:pPr>
        <w:pStyle w:val="Normal"/>
        <w:rPr>
          <w:sz w:val="24"/>
          <w:szCs w:val="24"/>
        </w:rPr>
      </w:pPr>
      <w:r>
        <w:rPr>
          <w:sz w:val="24"/>
          <w:szCs w:val="24"/>
        </w:rPr>
      </w:r>
    </w:p>
    <w:p>
      <w:pPr>
        <w:pStyle w:val="Normal"/>
        <w:rPr>
          <w:sz w:val="24"/>
          <w:szCs w:val="24"/>
        </w:rPr>
      </w:pPr>
      <w:r>
        <w:rPr>
          <w:sz w:val="24"/>
          <w:szCs w:val="24"/>
        </w:rPr>
      </w:r>
    </w:p>
    <w:p>
      <w:pPr>
        <w:pStyle w:val="Normal"/>
        <w:ind w:firstLine="708"/>
        <w:jc w:val="both"/>
        <w:rPr>
          <w:sz w:val="24"/>
          <w:szCs w:val="24"/>
          <w:lang w:eastAsia="bs-BA"/>
        </w:rPr>
      </w:pPr>
      <w:r>
        <w:rPr>
          <w:sz w:val="24"/>
          <w:szCs w:val="24"/>
        </w:rPr>
        <w:t xml:space="preserve">Županijski/Kantonalni sud u Mostaru, u vijeću sastavljenom od sudaca Milene Perić kao predsjednika vijeća, Silvane Šuman i Majne Lovrić, kao članova vijeća, u ovršnom predmetu </w:t>
      </w:r>
      <w:r>
        <w:rPr>
          <w:sz w:val="24"/>
          <w:szCs w:val="24"/>
          <w:lang w:eastAsia="bs-BA"/>
        </w:rPr>
        <w:t xml:space="preserve">tražitelja ovrhe  </w:t>
      </w:r>
      <w:r>
        <w:rPr>
          <w:rFonts w:eastAsia="Times New Roman" w:cs="Times New Roman"/>
          <w:sz w:val="24"/>
          <w:szCs w:val="24"/>
          <w:lang w:val="hr-HR" w:eastAsia="bs-BA"/>
        </w:rPr>
        <w:t>Grad Mostar</w:t>
      </w:r>
      <w:r>
        <w:rPr>
          <w:sz w:val="24"/>
          <w:szCs w:val="24"/>
          <w:lang w:eastAsia="bs-BA"/>
        </w:rPr>
        <w:t xml:space="preserve"> , zastupan po zakonskom zastupnik</w:t>
      </w:r>
      <w:r>
        <w:rPr>
          <w:sz w:val="24"/>
          <w:szCs w:val="24"/>
          <w:lang w:eastAsia="bs-BA"/>
        </w:rPr>
        <w:t>u JPG</w:t>
      </w:r>
      <w:r>
        <w:rPr>
          <w:sz w:val="24"/>
          <w:szCs w:val="24"/>
          <w:lang w:eastAsia="bs-BA"/>
        </w:rPr>
        <w:t xml:space="preserve">, protiv ovršenika </w:t>
      </w:r>
      <w:r>
        <w:rPr>
          <w:sz w:val="24"/>
          <w:szCs w:val="24"/>
          <w:lang w:eastAsia="bs-BA"/>
        </w:rPr>
        <w:t>F.B.</w:t>
      </w:r>
      <w:r>
        <w:rPr>
          <w:sz w:val="24"/>
          <w:szCs w:val="24"/>
          <w:lang w:eastAsia="bs-BA"/>
        </w:rPr>
        <w:t>, Iz</w:t>
      </w:r>
      <w:r>
        <w:rPr>
          <w:sz w:val="24"/>
          <w:szCs w:val="24"/>
          <w:lang w:eastAsia="bs-BA"/>
        </w:rPr>
        <w:t xml:space="preserve"> M.</w:t>
      </w:r>
      <w:r>
        <w:rPr>
          <w:sz w:val="24"/>
          <w:szCs w:val="24"/>
          <w:lang w:eastAsia="bs-BA"/>
        </w:rPr>
        <w:t xml:space="preserve">, Ulica …, zastupane po punomoćniku ………, odvjetniku iz </w:t>
      </w:r>
      <w:r>
        <w:rPr>
          <w:sz w:val="24"/>
          <w:szCs w:val="24"/>
          <w:lang w:eastAsia="bs-BA"/>
        </w:rPr>
        <w:t>.</w:t>
      </w:r>
      <w:r>
        <w:rPr>
          <w:sz w:val="24"/>
          <w:szCs w:val="24"/>
          <w:lang w:eastAsia="bs-BA"/>
        </w:rPr>
        <w:t xml:space="preserve">, radi ovrhe, v.sp. 10.923,00 KM, odlučujući o žalbi ovršenice protiv rješenja Općinskog suda u Mostaru broj: </w:t>
      </w:r>
      <w:r>
        <w:rPr>
          <w:sz w:val="24"/>
          <w:szCs w:val="24"/>
        </w:rPr>
        <w:t>58 0 I ...... 21 P od 20.09.2022. godine, na sjed</w:t>
      </w:r>
      <w:r>
        <w:rPr>
          <w:sz w:val="24"/>
          <w:szCs w:val="24"/>
          <w:lang w:eastAsia="bs-BA"/>
        </w:rPr>
        <w:t>nici vijeća održanoj dana 18.01.2023. godine, donio je sljedeće;</w:t>
      </w:r>
    </w:p>
    <w:p>
      <w:pPr>
        <w:pStyle w:val="Normal"/>
        <w:ind w:firstLine="708"/>
        <w:jc w:val="both"/>
        <w:rPr>
          <w:sz w:val="24"/>
          <w:szCs w:val="24"/>
          <w:lang w:eastAsia="bs-BA"/>
        </w:rPr>
      </w:pPr>
      <w:r>
        <w:rPr>
          <w:sz w:val="24"/>
          <w:szCs w:val="24"/>
          <w:lang w:eastAsia="bs-BA"/>
        </w:rPr>
      </w:r>
    </w:p>
    <w:p>
      <w:pPr>
        <w:pStyle w:val="Normal"/>
        <w:jc w:val="center"/>
        <w:rPr>
          <w:b/>
          <w:b/>
          <w:sz w:val="24"/>
          <w:szCs w:val="24"/>
          <w:lang w:eastAsia="bs-BA"/>
        </w:rPr>
      </w:pPr>
      <w:r>
        <w:rPr>
          <w:b/>
          <w:sz w:val="24"/>
          <w:szCs w:val="24"/>
          <w:lang w:eastAsia="bs-BA"/>
        </w:rPr>
        <w:t>R J E Š E N J E</w:t>
      </w:r>
    </w:p>
    <w:p>
      <w:pPr>
        <w:pStyle w:val="Normal"/>
        <w:jc w:val="center"/>
        <w:rPr/>
      </w:pPr>
      <w:r>
        <w:rPr/>
      </w:r>
    </w:p>
    <w:p>
      <w:pPr>
        <w:pStyle w:val="Normal"/>
        <w:jc w:val="both"/>
        <w:rPr>
          <w:sz w:val="24"/>
          <w:szCs w:val="24"/>
          <w:lang w:eastAsia="bs-BA"/>
        </w:rPr>
      </w:pPr>
      <w:r>
        <w:rPr/>
        <w:tab/>
      </w:r>
      <w:r>
        <w:rPr>
          <w:sz w:val="24"/>
          <w:szCs w:val="24"/>
          <w:lang w:val="hr-BA"/>
        </w:rPr>
        <w:t>Žalba ovršenice odbija se kao neosnovana i prvostupanjsko rješenje potvrđuje.</w:t>
      </w:r>
    </w:p>
    <w:p>
      <w:pPr>
        <w:pStyle w:val="Normal"/>
        <w:jc w:val="center"/>
        <w:rPr>
          <w:sz w:val="24"/>
          <w:szCs w:val="24"/>
          <w:lang w:eastAsia="bs-BA"/>
        </w:rPr>
      </w:pPr>
      <w:r>
        <w:rPr>
          <w:sz w:val="24"/>
          <w:szCs w:val="24"/>
          <w:lang w:eastAsia="bs-BA"/>
        </w:rPr>
      </w:r>
    </w:p>
    <w:p>
      <w:pPr>
        <w:pStyle w:val="Normal"/>
        <w:jc w:val="center"/>
        <w:rPr>
          <w:b/>
          <w:b/>
          <w:sz w:val="24"/>
          <w:szCs w:val="24"/>
          <w:lang w:eastAsia="bs-BA"/>
        </w:rPr>
      </w:pPr>
      <w:r>
        <w:rPr>
          <w:b/>
          <w:sz w:val="24"/>
          <w:szCs w:val="24"/>
          <w:lang w:eastAsia="bs-BA"/>
        </w:rPr>
        <w:t>O b r a z l o ž e n j e</w:t>
      </w:r>
    </w:p>
    <w:p>
      <w:pPr>
        <w:pStyle w:val="Normal"/>
        <w:jc w:val="center"/>
        <w:rPr>
          <w:sz w:val="24"/>
          <w:szCs w:val="24"/>
          <w:lang w:eastAsia="bs-BA"/>
        </w:rPr>
      </w:pPr>
      <w:r>
        <w:rPr>
          <w:sz w:val="24"/>
          <w:szCs w:val="24"/>
          <w:lang w:eastAsia="bs-BA"/>
        </w:rPr>
      </w:r>
    </w:p>
    <w:p>
      <w:pPr>
        <w:pStyle w:val="Normal"/>
        <w:jc w:val="both"/>
        <w:rPr>
          <w:sz w:val="24"/>
          <w:szCs w:val="24"/>
        </w:rPr>
      </w:pPr>
      <w:r>
        <w:rPr>
          <w:sz w:val="24"/>
          <w:szCs w:val="24"/>
          <w:lang w:eastAsia="bs-BA"/>
        </w:rPr>
        <w:tab/>
      </w:r>
      <w:r>
        <w:rPr>
          <w:sz w:val="24"/>
          <w:szCs w:val="24"/>
        </w:rPr>
        <w:t xml:space="preserve">Rješenjem </w:t>
      </w:r>
      <w:r>
        <w:rPr>
          <w:sz w:val="24"/>
          <w:szCs w:val="24"/>
          <w:lang w:eastAsia="bs-BA"/>
        </w:rPr>
        <w:t xml:space="preserve">Općinskog suda u Mostaru  broj: </w:t>
      </w:r>
      <w:r>
        <w:rPr>
          <w:sz w:val="24"/>
          <w:szCs w:val="24"/>
        </w:rPr>
        <w:t>58 0 I ...... 21 P od 20.09.2022. godine,</w:t>
      </w:r>
      <w:r>
        <w:rPr>
          <w:sz w:val="24"/>
          <w:szCs w:val="24"/>
          <w:lang w:eastAsia="bs-BA"/>
        </w:rPr>
        <w:t xml:space="preserve"> </w:t>
      </w:r>
      <w:r>
        <w:rPr>
          <w:sz w:val="24"/>
          <w:szCs w:val="24"/>
        </w:rPr>
        <w:t xml:space="preserve">prigovor ovršenice </w:t>
      </w:r>
      <w:r>
        <w:rPr>
          <w:sz w:val="24"/>
          <w:szCs w:val="24"/>
        </w:rPr>
        <w:t>F.B.</w:t>
      </w:r>
      <w:r>
        <w:rPr>
          <w:sz w:val="24"/>
          <w:szCs w:val="24"/>
        </w:rPr>
        <w:t xml:space="preserve"> se djelomično usvaja pa se rješenje broj 58 0 I ...... 21 I 2 od 03.06.2021. godine mijenja na način da se određuje ovrha na jednoj četvrtini (1/4) porodične invalidnine koju ovršenica </w:t>
      </w:r>
      <w:r>
        <w:rPr>
          <w:sz w:val="24"/>
          <w:szCs w:val="24"/>
        </w:rPr>
        <w:t>F.B</w:t>
      </w:r>
      <w:r>
        <w:rPr>
          <w:sz w:val="24"/>
          <w:szCs w:val="24"/>
        </w:rPr>
        <w:t xml:space="preserve"> prima kod Federalnog ministarstva za pitanja boraca i invalida odbrambeno oslobodilačkog rata. U preostalom dijelu rješenje ostaje nepromijenjeno. Istim rješenjem je odlučeno da se u preostalom dijelu prigovor odbacuje kao nedopušten te da se odbija zahtjev ovršenice za naknadom troškova sastava prigovora. </w:t>
      </w:r>
    </w:p>
    <w:p>
      <w:pPr>
        <w:pStyle w:val="Normal"/>
        <w:jc w:val="both"/>
        <w:rPr>
          <w:sz w:val="24"/>
          <w:szCs w:val="24"/>
        </w:rPr>
      </w:pPr>
      <w:r>
        <w:rPr>
          <w:sz w:val="24"/>
          <w:szCs w:val="24"/>
        </w:rPr>
      </w:r>
    </w:p>
    <w:p>
      <w:pPr>
        <w:pStyle w:val="Normal"/>
        <w:jc w:val="both"/>
        <w:rPr>
          <w:sz w:val="24"/>
          <w:szCs w:val="24"/>
        </w:rPr>
      </w:pPr>
      <w:r>
        <w:rPr>
          <w:sz w:val="24"/>
          <w:szCs w:val="24"/>
        </w:rPr>
        <w:tab/>
        <w:t xml:space="preserve">Protiv prednjeg rješenja žalbu je blagovremeno izjavila ovršenica i rješenje u cijelosti pobija zbog pogrešno i nepotpuno utvrđenog činjeničnog stanja, pogrešne primjene materijalnog prava i povrede odredaba postupka pa predlaže da se žalba usvoji, pobijano rješenje ukine i ovrha obustavi, a tražitelj ovrhe obveže ovršenici naknaditi troškove sastava žalbe.  U žalbi u bitnom ističe da ovršenici nije pružena prilika da se izjasni na prijedlog tražitelja ovrhe o promjeni sredstava i predmeta ovrhe u ovom postupku, pa da joj je uskraćeno pravo na pristup sudu, ističe da bi ovrhom na invalidnini koju ostvaruje bila ugrožena njena egzistencija s obzirom da nema nikakvih drugih sredstava za život, da od umrlog supruga </w:t>
      </w:r>
      <w:r>
        <w:rPr>
          <w:sz w:val="24"/>
          <w:szCs w:val="24"/>
        </w:rPr>
        <w:t>D.B.</w:t>
      </w:r>
      <w:r>
        <w:rPr>
          <w:sz w:val="24"/>
          <w:szCs w:val="24"/>
        </w:rPr>
        <w:t xml:space="preserve"> nije naslijedila imovinu u visini novčanih iznosa koji se potražuju u ovom postupku, da je sud bio dužan da provede vještačenje na okolnost procjene i utvrđivanja visine iznosa naslijeđene imovine čime bi utvrdio da ovršenica ne može snositi dugovanja ……… u punom iznosu, da joj nikada nije dostavljena ovršna isprava, niti bilo koji drugi dokument kojim bi prigovorila i branila svoje interese u ovom postupku, te ponovo ističe da dana 19.10.2007. godine nije zaključena sudska nagodba između tražitelja ovrhe i ………. </w:t>
      </w:r>
    </w:p>
    <w:p>
      <w:pPr>
        <w:pStyle w:val="Normal"/>
        <w:jc w:val="both"/>
        <w:rPr>
          <w:sz w:val="24"/>
          <w:szCs w:val="24"/>
        </w:rPr>
      </w:pPr>
      <w:r>
        <w:rPr>
          <w:sz w:val="24"/>
          <w:szCs w:val="24"/>
        </w:rPr>
        <w:tab/>
      </w:r>
    </w:p>
    <w:p>
      <w:pPr>
        <w:pStyle w:val="Normal"/>
        <w:jc w:val="both"/>
        <w:rPr>
          <w:sz w:val="24"/>
          <w:szCs w:val="24"/>
        </w:rPr>
      </w:pPr>
      <w:r>
        <w:rPr>
          <w:sz w:val="24"/>
          <w:szCs w:val="24"/>
        </w:rPr>
        <w:tab/>
        <w:t xml:space="preserve">Odgovor na žalbu nije dostavljen. </w:t>
      </w:r>
    </w:p>
    <w:p>
      <w:pPr>
        <w:pStyle w:val="Normal"/>
        <w:jc w:val="both"/>
        <w:rPr>
          <w:sz w:val="24"/>
          <w:szCs w:val="24"/>
        </w:rPr>
      </w:pPr>
      <w:r>
        <w:rPr>
          <w:sz w:val="24"/>
          <w:szCs w:val="24"/>
        </w:rPr>
        <w:tab/>
        <w:t xml:space="preserve">Žalba nije osnovana. </w:t>
      </w:r>
    </w:p>
    <w:p>
      <w:pPr>
        <w:pStyle w:val="Normal"/>
        <w:jc w:val="both"/>
        <w:rPr>
          <w:sz w:val="24"/>
          <w:szCs w:val="24"/>
        </w:rPr>
      </w:pPr>
      <w:r>
        <w:rPr>
          <w:sz w:val="24"/>
          <w:szCs w:val="24"/>
        </w:rPr>
      </w:r>
    </w:p>
    <w:p>
      <w:pPr>
        <w:pStyle w:val="Normal"/>
        <w:ind w:firstLine="708"/>
        <w:jc w:val="both"/>
        <w:rPr>
          <w:sz w:val="24"/>
          <w:szCs w:val="24"/>
        </w:rPr>
      </w:pPr>
      <w:r>
        <w:rPr>
          <w:sz w:val="24"/>
          <w:szCs w:val="24"/>
        </w:rPr>
        <w:t>Ispitujući pobijano rješenje u granicama žalbenih razloga i razloga na koje sud pazi po službenoj dužnosti u smislu čl. 221. Zakona o parničnom postupku ( u daljem tekstu ZPP) koji se primjenjuje na osnovu čl. 21. st.1. Zakona o ovršnom postupku (u daljem tekstu ZOP) odlučio kao u izreci  radi sljedećeg:</w:t>
      </w:r>
    </w:p>
    <w:p>
      <w:pPr>
        <w:pStyle w:val="Normal"/>
        <w:ind w:firstLine="708"/>
        <w:jc w:val="both"/>
        <w:rPr>
          <w:sz w:val="24"/>
          <w:szCs w:val="24"/>
        </w:rPr>
      </w:pPr>
      <w:r>
        <w:rPr>
          <w:sz w:val="24"/>
          <w:szCs w:val="24"/>
        </w:rPr>
      </w:r>
    </w:p>
    <w:p>
      <w:pPr>
        <w:pStyle w:val="Normal"/>
        <w:ind w:firstLine="720"/>
        <w:jc w:val="both"/>
        <w:rPr>
          <w:sz w:val="24"/>
          <w:szCs w:val="24"/>
        </w:rPr>
      </w:pPr>
      <w:r>
        <w:rPr>
          <w:sz w:val="24"/>
          <w:szCs w:val="24"/>
        </w:rPr>
        <w:t xml:space="preserve">Iz predmeta spisa proizlazi da je dana 24.02.2015. godine po uređenom prijedlogu za ovrhu tražitelj ovrhe od ovršenice ………, kao zakonske nasljednice iza umrlog supruga ………, sa kojim je tražitelj ovrhe zaključio pred prvostupanjskim sudom sudsku nagodbu pod brojem 07 58 Mal …… 03 Mal od 19.10.2006. godine, radi isplate duga po osnovu ugovora o zakupu poslovnog prostora u Ulici ……… u iznosu od 26.215,00 KM, a koja je ovršna isprava u ovom postupku,  traži da se dozvoli ovrha zabilježbom, utvrđenjem i prodajom suvlasničkih dijelova nekretnine ovršenice označenih kao k.č. ……iz zk. ul. broj …… KO ……, k.č. ……iz zk. ul. …… KO ……k.č. …… iz zk. ul. …… KO …… i k.č. …… iz zk. ul. …… KO……. Prvostupanjski sud je dozvolio predloženu ovrhu rješenjem o ovrsi broj </w:t>
      </w:r>
      <w:r>
        <w:rPr>
          <w:i/>
          <w:sz w:val="24"/>
          <w:szCs w:val="24"/>
        </w:rPr>
        <w:t>58 0 Mal …… 08 I od 05.01.2018. godine</w:t>
      </w:r>
      <w:r>
        <w:rPr>
          <w:sz w:val="24"/>
          <w:szCs w:val="24"/>
        </w:rPr>
        <w:t xml:space="preserve">, na koje rješenje je ovršenica uložila prigovor u kojem je istakla da ne može biti pasivno legitimirana u ovom ovršnom postupku jer nikada nije zaključila sudsku nagodbu sa tražiteljem ovrhe, a niti je takvu nagodbu zaključio njen umrli suprug, da se ovrha ne može provesti na predmetnim nekretninama jer su iste u suvlasništvu trećih lica. Odlučujući o ovom prigovoru prvostupanjski sud je rješenjem broj 58 0 I …… 18 Mal od 07.06.2019. godine  </w:t>
      </w:r>
      <w:r>
        <w:rPr>
          <w:i/>
          <w:sz w:val="24"/>
          <w:szCs w:val="24"/>
        </w:rPr>
        <w:t>prigovor odbio kao neosnovan</w:t>
      </w:r>
      <w:r>
        <w:rPr>
          <w:sz w:val="24"/>
          <w:szCs w:val="24"/>
        </w:rPr>
        <w:t xml:space="preserve">, jer  navedenim prigovorima ovršenica ne dokazuje niti jedan razlog koji sprečava ovrhu u smislu članka 47. Zakona o ovršnom postupku. U obrazloženju se  prvostupanjski sud  poziva na postojanje pravomoćnog rješenja o nasljeđivanju Općinskog suda u Mostaru broj 07 58 O …… 05 O od 26.06.2009. godine kojim se ovršenica …… i …… proglašavaju zakonskim nasljednicima prvog nasljednog reda sa udjelom od ½ zaostavštine iza umrlog muža, odnosno oca ……, temeljem kojeg je  ovršenica ……  upisana kao suvlasnica na nekretninama na kojima se traži provođenje ovrhe. Sud se također  poziva na podatke iz spisa da je uz prijedlog za ovrhe podnesena sudska nagodba zaključena između  …… sa tražiteljem ovrhe pod  brojem 07 58 Mal …… 03 Mal od 19.10.2006. godine na zapisnik suda  od  19.10.2006. godine koji zapisnik je  tuženik …… preuzeo dana  19.10.2016. godine.  </w:t>
      </w:r>
    </w:p>
    <w:p>
      <w:pPr>
        <w:pStyle w:val="Normal"/>
        <w:ind w:firstLine="720"/>
        <w:jc w:val="both"/>
        <w:rPr>
          <w:sz w:val="24"/>
          <w:szCs w:val="24"/>
        </w:rPr>
      </w:pPr>
      <w:r>
        <w:rPr>
          <w:sz w:val="24"/>
          <w:szCs w:val="24"/>
        </w:rPr>
      </w:r>
    </w:p>
    <w:p>
      <w:pPr>
        <w:pStyle w:val="Normal"/>
        <w:ind w:firstLine="720"/>
        <w:jc w:val="both"/>
        <w:rPr>
          <w:sz w:val="24"/>
          <w:szCs w:val="24"/>
        </w:rPr>
      </w:pPr>
      <w:r>
        <w:rPr>
          <w:sz w:val="24"/>
          <w:szCs w:val="24"/>
        </w:rPr>
        <w:t xml:space="preserve">Na ovo rješenje ovršenica je uložila žalbu, pa je rješenjem ovog suda  broj  58 0  Mal …… 19 Gži 2 od 05.11.2019. godine žalba …… odbijena kao neosnovana a prvostupanjsko rješenje potvrđeno u cijelosti. Rješenje broj 58 0  Mal …… 19 Gži 2 od 05.11.2019. godine dostavljeno  je ovršenici putem njenog punomoćnika dana 18.05.2020. godine, čime je rješenje o ovrsi kojim je dozvoljena ovrha protiv ovršenice …… postalo pravomoćno i ovršno. </w:t>
      </w:r>
    </w:p>
    <w:p>
      <w:pPr>
        <w:pStyle w:val="Normal"/>
        <w:ind w:firstLine="720"/>
        <w:jc w:val="both"/>
        <w:rPr>
          <w:sz w:val="24"/>
          <w:szCs w:val="24"/>
        </w:rPr>
      </w:pPr>
      <w:r>
        <w:rPr>
          <w:sz w:val="24"/>
          <w:szCs w:val="24"/>
        </w:rPr>
        <w:t xml:space="preserve">U daljem tijeku postupka, zbog nemogućnosti provođenja ovrhe na predloženim nekretninama, tražitelj ovrhe je, po pozivu suda, uredio prijedlog za provođenje ovrhe na novom predmetu i sredstvu podneskom od 08.04.2021. godine, pa je </w:t>
      </w:r>
      <w:r>
        <w:rPr>
          <w:sz w:val="24"/>
        </w:rPr>
        <w:t xml:space="preserve">rješenjem prvostupanjskog  broj 58 0 I  ……  21 I 2 od 03.06.2021. godine izmijenjeno  rješenja ovrsi broj 58 0 Mal …… 21 I 2 od 05.01.2018. godine u dijelu koji se odnosi na predmet ovrhe i sredstvo , pa je  sud odredio ovrhu pljenidbom na novčanim sredstvima ovršenice  do ½ porodične invalidnine koju ostvaruje kod Federalnog </w:t>
      </w:r>
      <w:r>
        <w:rPr>
          <w:sz w:val="24"/>
          <w:szCs w:val="24"/>
        </w:rPr>
        <w:t xml:space="preserve">ministarstva za pitanja boraca i invalida odbrambeno oslobodilačkog rata, te zapljenom i prenosom novčanih sredstava sa računa ovršenice  na račun tražitelja ovrhe, na koje rješenje je ovršenica ponovo uložila prigovor u kojem je istakla da bi na taj način njena egzistencija bila ugrožena, prigovora da joj nikada nije pružena prilika da se izjasni na prijedlog o promjeni sredstava i predmeta ovrhe,  te ponovo prigovora da nije naslijedila imovinu iza ……, u visini novčanih iznosa koji se potražuju u ovom postupku, te da njen suprug nikada nije zaključio sudsku nagodbu sa tražiteljem ovrhe od 19.10.2006. godine. </w:t>
      </w:r>
    </w:p>
    <w:p>
      <w:pPr>
        <w:pStyle w:val="Normal"/>
        <w:ind w:firstLine="720"/>
        <w:jc w:val="both"/>
        <w:rPr>
          <w:sz w:val="24"/>
          <w:szCs w:val="24"/>
        </w:rPr>
      </w:pPr>
      <w:r>
        <w:rPr>
          <w:sz w:val="24"/>
          <w:szCs w:val="24"/>
        </w:rPr>
      </w:r>
    </w:p>
    <w:p>
      <w:pPr>
        <w:pStyle w:val="Normal"/>
        <w:ind w:firstLine="720"/>
        <w:jc w:val="both"/>
        <w:rPr>
          <w:sz w:val="24"/>
          <w:szCs w:val="24"/>
        </w:rPr>
      </w:pPr>
      <w:r>
        <w:rPr>
          <w:sz w:val="24"/>
          <w:szCs w:val="24"/>
        </w:rPr>
        <w:t xml:space="preserve">Odlučujući o ovom prigovoru prvostupanjski sud je rješenjem od 20.09.2022. godine prigovor ovršenice djelomično usvojio, na način da je odredio ovrhu po rješenju broj 58 0 I …… 21 I 2 od 03.06.2021. godine na ¼ porodične invalidnine koju ovršenica …… prima kod Federalnog ministarstva za pitanja boraca i invalida odbrambeno oslobodilačkog rata, dok je u preostalom dijelu rješenje o ovrsi ostalo nepromijenjeno, pa je prigovor ovršenice u preostalom dijelu odbačen. </w:t>
      </w:r>
    </w:p>
    <w:p>
      <w:pPr>
        <w:pStyle w:val="Normal"/>
        <w:ind w:firstLine="720"/>
        <w:jc w:val="both"/>
        <w:rPr>
          <w:sz w:val="24"/>
          <w:szCs w:val="24"/>
        </w:rPr>
      </w:pPr>
      <w:r>
        <w:rPr>
          <w:sz w:val="24"/>
          <w:szCs w:val="24"/>
        </w:rPr>
      </w:r>
    </w:p>
    <w:p>
      <w:pPr>
        <w:pStyle w:val="Normal"/>
        <w:ind w:firstLine="720"/>
        <w:jc w:val="both"/>
        <w:rPr>
          <w:sz w:val="24"/>
          <w:szCs w:val="24"/>
        </w:rPr>
      </w:pPr>
      <w:r>
        <w:rPr>
          <w:sz w:val="24"/>
          <w:szCs w:val="24"/>
        </w:rPr>
        <w:t xml:space="preserve">Prvostupanjski sud je odlučujući o prigovoru ovršenice u svom rješenju dao jasne i valjane razloge, koje u cijelosti prihvata i ovaj sud. Tokom čitavog postupka ovršenica je isticala da njen suprugu nikada nije zaključio sudsku nagodbu sa tražiteljem ovrhe, koja nagodba je ovršna isprava u ovom postupku,  a ove tvrdnje prvostupanjski sud je raspravio u ranijem toku postupka po prigovoru ovršenika  na rješenje o ovrsi broj 58 0 Mal …… 08 I od 5.1.2018. godine  donoseći rješenje  broj 58 0 I …… 18 Mal od 07.06.2019. godine, koja je potvrđena rješenjem ovog suda  broj  58 0  Mal …… 19 Gži 2 od 05.11.2019. godine. Pravilno prvostupanjski sud ističe da je po tim prigovorima već raspravljano i  da  je rješenje o ovsi  broj 58 0 Mal …… 08 I od 5.1.2018. godine, prema  kojem je dozvoljena ovrha protiv ovršenice  </w:t>
      </w:r>
      <w:r>
        <w:rPr>
          <w:sz w:val="24"/>
          <w:szCs w:val="24"/>
        </w:rPr>
        <w:t>F.B.</w:t>
      </w:r>
      <w:r>
        <w:rPr>
          <w:sz w:val="24"/>
          <w:szCs w:val="24"/>
        </w:rPr>
        <w:t xml:space="preserve"> na temelju  ovršene isprave - sudsku nagodbu koju je njen umrli suprug </w:t>
      </w:r>
      <w:r>
        <w:rPr>
          <w:sz w:val="24"/>
          <w:szCs w:val="24"/>
        </w:rPr>
        <w:t>D.B.</w:t>
      </w:r>
      <w:r>
        <w:rPr>
          <w:sz w:val="24"/>
          <w:szCs w:val="24"/>
        </w:rPr>
        <w:t xml:space="preserve"> zaključio sa tražitelj ovrhe u sudu pod  brojem 07 58 Mal …… 03 Mal od 19.10.2006. godine postalo  pravomoćno  i ovršno. Stoga je na rješenje o određivanju ovrhe na novom sredstvu i predmetu ovrhe ,  prigovor dozvoljen samo u dijelu u kojem je izvršena promjena predmeta i sredstva ovrhe , ali ne i u dijelu visine i vrste potraživanja , zbog čega je u tom dijelu prigovor ovršenice sud  odbacio bez raspravljanja. </w:t>
      </w:r>
    </w:p>
    <w:p>
      <w:pPr>
        <w:pStyle w:val="Normal"/>
        <w:ind w:firstLine="720"/>
        <w:jc w:val="both"/>
        <w:rPr>
          <w:sz w:val="24"/>
          <w:szCs w:val="24"/>
        </w:rPr>
      </w:pPr>
      <w:r>
        <w:rPr>
          <w:sz w:val="24"/>
          <w:szCs w:val="24"/>
        </w:rPr>
      </w:r>
    </w:p>
    <w:p>
      <w:pPr>
        <w:pStyle w:val="Normal"/>
        <w:ind w:firstLine="720"/>
        <w:jc w:val="both"/>
        <w:rPr>
          <w:sz w:val="24"/>
          <w:szCs w:val="24"/>
        </w:rPr>
      </w:pPr>
      <w:r>
        <w:rPr>
          <w:sz w:val="24"/>
          <w:szCs w:val="24"/>
        </w:rPr>
        <w:t>U odnosu na tvrdnje žalbe da bi provođenjem ovrhe na ¼ porodične invalidnine koju prima ovršenica bila ugrožena njena egzistencija ovaj sud ističe da je prvostupanjski sud pravilno cijenio da bi visina od ½ invalidnine na kojoj je tražena ovrha bila previše velik teret za ovršenicu, pa je zbog toga, a u skladu sa odredbom članka 138. stavak 1. Zakona o ovršnom postupku smatrao da je provođenje zapljene  na ¼ invalidnine pravilno i opravdano, a što prihvata i ovaj sud . Tvrdnje  žalbe da je naslijedila imovinu  iza umrlog supruga u iznosu koji su manji od duga po ovršnoj ispravi ovršenica do donošenja pravomoćnog rješenja o ovrsi nije isticala, niti je na te okolnosti predlagala provođenje vještačenja, pa su sada ti prigovori bez osnova.</w:t>
      </w:r>
    </w:p>
    <w:p>
      <w:pPr>
        <w:pStyle w:val="Normal"/>
        <w:ind w:firstLine="720"/>
        <w:jc w:val="both"/>
        <w:rPr>
          <w:sz w:val="24"/>
          <w:szCs w:val="24"/>
        </w:rPr>
      </w:pPr>
      <w:r>
        <w:rPr>
          <w:sz w:val="24"/>
          <w:szCs w:val="24"/>
        </w:rPr>
      </w:r>
    </w:p>
    <w:p>
      <w:pPr>
        <w:pStyle w:val="Normal"/>
        <w:ind w:firstLine="720"/>
        <w:jc w:val="both"/>
        <w:rPr>
          <w:sz w:val="24"/>
        </w:rPr>
      </w:pPr>
      <w:r>
        <w:rPr>
          <w:sz w:val="24"/>
          <w:szCs w:val="24"/>
        </w:rPr>
        <w:t xml:space="preserve">Imajući u vidu navedeno </w:t>
      </w:r>
      <w:r>
        <w:rPr>
          <w:sz w:val="24"/>
        </w:rPr>
        <w:t xml:space="preserve"> je žalbu je  trebalo odbiti kao neosnovanu a pobijano rješenje potvrditi na temelju članka 235. točka 2. ZPP-a.</w:t>
      </w:r>
    </w:p>
    <w:p>
      <w:pPr>
        <w:pStyle w:val="Normal"/>
        <w:ind w:firstLine="720"/>
        <w:jc w:val="both"/>
        <w:rPr>
          <w:sz w:val="24"/>
        </w:rPr>
      </w:pPr>
      <w:r>
        <w:rPr>
          <w:sz w:val="24"/>
        </w:rPr>
      </w:r>
    </w:p>
    <w:p>
      <w:pPr>
        <w:pStyle w:val="Normal"/>
        <w:ind w:firstLine="720"/>
        <w:jc w:val="both"/>
        <w:rPr>
          <w:sz w:val="24"/>
        </w:rPr>
      </w:pPr>
      <w:r>
        <w:rPr>
          <w:sz w:val="24"/>
        </w:rPr>
        <w:tab/>
        <w:tab/>
        <w:tab/>
        <w:tab/>
        <w:tab/>
        <w:tab/>
      </w:r>
      <w:r>
        <w:rPr>
          <w:b/>
          <w:sz w:val="24"/>
          <w:szCs w:val="24"/>
        </w:rPr>
        <w:t xml:space="preserve">   PREDSJEDNICAVIJEĆA                                                                                                  </w:t>
      </w:r>
      <w:r>
        <w:rPr>
          <w:sz w:val="24"/>
          <w:szCs w:val="24"/>
        </w:rPr>
        <w:t xml:space="preserve">                                                </w:t>
        <w:tab/>
        <w:tab/>
        <w:tab/>
        <w:tab/>
        <w:tab/>
        <w:tab/>
        <w:tab/>
        <w:tab/>
        <w:t xml:space="preserve">Milena Perić </w:t>
      </w:r>
      <w:r>
        <w:rPr>
          <w:b/>
          <w:sz w:val="24"/>
          <w:szCs w:val="24"/>
        </w:rPr>
        <w:t xml:space="preserve">  </w:t>
      </w:r>
    </w:p>
    <w:p>
      <w:pPr>
        <w:pStyle w:val="Normal"/>
        <w:ind w:left="5760" w:hanging="0"/>
        <w:jc w:val="both"/>
        <w:rPr>
          <w:b/>
          <w:b/>
          <w:sz w:val="24"/>
          <w:szCs w:val="24"/>
        </w:rPr>
      </w:pPr>
      <w:r>
        <w:rPr>
          <w:b/>
          <w:sz w:val="24"/>
          <w:szCs w:val="24"/>
        </w:rPr>
      </w:r>
    </w:p>
    <w:p>
      <w:pPr>
        <w:pStyle w:val="Normal"/>
        <w:ind w:left="5760" w:hanging="0"/>
        <w:jc w:val="both"/>
        <w:rPr>
          <w:b/>
          <w:b/>
          <w:sz w:val="24"/>
          <w:szCs w:val="24"/>
        </w:rPr>
      </w:pPr>
      <w:r>
        <w:rPr/>
      </w:r>
    </w:p>
    <w:sectPr>
      <w:footerReference w:type="default" r:id="rId2"/>
      <w:type w:val="nextPage"/>
      <w:pgSz w:w="12240" w:h="15840"/>
      <w:pgMar w:left="1800" w:right="1800" w:header="0" w:top="1276" w:footer="720" w:bottom="125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right="360" w:hanging="0"/>
      <w:rPr/>
    </w:pPr>
    <w:r>
      <w:rPr/>
    </w:r>
    <w:r>
      <mc:AlternateContent>
        <mc:Choice Requires="wps">
          <w:drawing>
            <wp:anchor behindDoc="0" distT="0" distB="0" distL="0" distR="0" simplePos="0" locked="0" layoutInCell="1" allowOverlap="1" relativeHeight="5">
              <wp:simplePos x="0" y="0"/>
              <wp:positionH relativeFrom="margin">
                <wp:align>right</wp:align>
              </wp:positionH>
              <wp:positionV relativeFrom="paragraph">
                <wp:posOffset>635</wp:posOffset>
              </wp:positionV>
              <wp:extent cx="64135" cy="146685"/>
              <wp:effectExtent l="0" t="0" r="0" b="0"/>
              <wp:wrapSquare wrapText="largest"/>
              <wp:docPr id="1" name="Frame1"/>
              <a:graphic xmlns:a="http://schemas.openxmlformats.org/drawingml/2006/main">
                <a:graphicData uri="http://schemas.microsoft.com/office/word/2010/wordprocessingShape">
                  <wps:wsp>
                    <wps:cNvSpPr txBox="1"/>
                    <wps:spPr>
                      <a:xfrm>
                        <a:off x="0" y="0"/>
                        <a:ext cx="64135" cy="146685"/>
                      </a:xfrm>
                      <a:prstGeom prst="rect"/>
                      <a:solidFill>
                        <a:srgbClr val="FFFFFF">
                          <a:alpha val="0"/>
                        </a:srgbClr>
                      </a:solidFill>
                    </wps:spPr>
                    <wps:txbx>
                      <w:txbxContent>
                        <w:p>
                          <w:pPr>
                            <w:pStyle w:val="Footer"/>
                            <w:pBdr/>
                            <w:rPr/>
                          </w:pPr>
                          <w:r>
                            <w:rPr>
                              <w:rStyle w:val="Pagenumber"/>
                            </w:rPr>
                            <w:fldChar w:fldCharType="begin"/>
                          </w:r>
                          <w:r>
                            <w:rPr>
                              <w:rStyle w:val="Pagenumber"/>
                            </w:rPr>
                            <w:instrText> PAGE </w:instrText>
                          </w:r>
                          <w:r>
                            <w:rPr>
                              <w:rStyle w:val="Pagenumber"/>
                            </w:rPr>
                            <w:fldChar w:fldCharType="separate"/>
                          </w:r>
                          <w:r>
                            <w:rPr>
                              <w:rStyle w:val="Pagenumber"/>
                            </w:rPr>
                            <w:t>4</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5.05pt;height:11.55pt;mso-wrap-distance-left:0pt;mso-wrap-distance-right:0pt;mso-wrap-distance-top:0pt;mso-wrap-distance-bottom:0pt;margin-top:0.05pt;mso-position-vertical-relative:text;margin-left:426.95pt;mso-position-horizontal:right;mso-position-horizontal-relative:margin">
              <v:fill opacity="0f"/>
              <v:textbox inset="0in,0in,0in,0in">
                <w:txbxContent>
                  <w:p>
                    <w:pPr>
                      <w:pStyle w:val="Footer"/>
                      <w:pBdr/>
                      <w:rPr/>
                    </w:pPr>
                    <w:r>
                      <w:rPr>
                        <w:rStyle w:val="Pagenumber"/>
                      </w:rPr>
                      <w:fldChar w:fldCharType="begin"/>
                    </w:r>
                    <w:r>
                      <w:rPr>
                        <w:rStyle w:val="Pagenumber"/>
                      </w:rPr>
                      <w:instrText> PAGE </w:instrText>
                    </w:r>
                    <w:r>
                      <w:rPr>
                        <w:rStyle w:val="Pagenumber"/>
                      </w:rPr>
                      <w:fldChar w:fldCharType="separate"/>
                    </w:r>
                    <w:r>
                      <w:rPr>
                        <w:rStyle w:val="Pagenumber"/>
                      </w:rPr>
                      <w:t>4</w:t>
                    </w:r>
                    <w:r>
                      <w:rPr>
                        <w:rStyle w:val="Pagenumber"/>
                      </w:rPr>
                      <w:fldChar w:fldCharType="end"/>
                    </w:r>
                  </w:p>
                </w:txbxContent>
              </v:textbox>
              <w10:wrap type="square" side="largest"/>
            </v:rect>
          </w:pict>
        </mc:Fallback>
      </mc:AlternateContent>
    </w:r>
  </w:p>
</w:ftr>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30775"/>
    <w:pPr>
      <w:widowControl/>
      <w:bidi w:val="0"/>
      <w:spacing w:before="0" w:after="0"/>
      <w:jc w:val="left"/>
    </w:pPr>
    <w:rPr>
      <w:rFonts w:eastAsia="Times New Roman" w:cs="Times New Roman" w:ascii="Times New Roman" w:hAnsi="Times New Roman"/>
      <w:color w:val="auto"/>
      <w:kern w:val="0"/>
      <w:sz w:val="20"/>
      <w:szCs w:val="20"/>
      <w:lang w:val="hr-HR" w:eastAsia="en-US" w:bidi="ar-SA"/>
    </w:rPr>
  </w:style>
  <w:style w:type="character" w:styleId="DefaultParagraphFont" w:default="1">
    <w:name w:val="Default Paragraph Font"/>
    <w:uiPriority w:val="1"/>
    <w:semiHidden/>
    <w:unhideWhenUsed/>
    <w:qFormat/>
    <w:rPr/>
  </w:style>
  <w:style w:type="character" w:styleId="FooterChar" w:customStyle="1">
    <w:name w:val="Footer Char"/>
    <w:basedOn w:val="DefaultParagraphFont"/>
    <w:link w:val="Footer"/>
    <w:qFormat/>
    <w:rsid w:val="00b30775"/>
    <w:rPr>
      <w:rFonts w:eastAsia="Times New Roman" w:cs="Times New Roman"/>
      <w:sz w:val="20"/>
      <w:szCs w:val="20"/>
      <w:lang w:val="hr-HR"/>
    </w:rPr>
  </w:style>
  <w:style w:type="character" w:styleId="Pagenumber">
    <w:name w:val="page number"/>
    <w:basedOn w:val="DefaultParagraphFont"/>
    <w:qFormat/>
    <w:rsid w:val="00b30775"/>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Footer">
    <w:name w:val="Footer"/>
    <w:basedOn w:val="Normal"/>
    <w:link w:val="FooterChar"/>
    <w:rsid w:val="00b30775"/>
    <w:pPr>
      <w:tabs>
        <w:tab w:val="clear" w:pos="720"/>
        <w:tab w:val="center" w:pos="4536" w:leader="none"/>
        <w:tab w:val="right" w:pos="9072" w:leader="none"/>
      </w:tabs>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Application>LibreOffice/6.4.5.2$Windows_X86_64 LibreOffice_project/a726b36747cf2001e06b58ad5db1aa3a9a1872d6</Application>
  <Pages>4</Pages>
  <Words>1531</Words>
  <Characters>7917</Characters>
  <CharactersWithSpaces>9663</CharactersWithSpaces>
  <Paragraphs>25</Paragraphs>
  <Company>Pravosudje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2023-09-26T07:41:00Z</dcterms:created>
  <dc:creator>Edin Sadzak</dc:creator>
  <dc:description/>
  <dc:language>bs-BA</dc:language>
  <cp:lastModifiedBy/>
  <dcterms:modified xsi:type="dcterms:W3CDTF">2023-10-06T12:20:28Z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Pravosudje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